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64"/>
          <w:szCs w:val="64"/>
          <w:rtl w:val="0"/>
          <w:lang w:val="en-US"/>
        </w:rPr>
        <w:t xml:space="preserve">510(k) Summary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Arial" w:hAnsi="Arial"/>
          <w:b w:val="1"/>
          <w:bCs w:val="1"/>
          <w:sz w:val="32"/>
          <w:szCs w:val="32"/>
          <w:rtl w:val="0"/>
          <w:lang w:val="en-US"/>
        </w:rPr>
        <w:t xml:space="preserve">BreatheStim, 5270 California Avenue, Irvine, California 92617  </w:t>
      </w:r>
      <w:r>
        <w:rPr>
          <w:rFonts w:ascii="Arial" w:hAnsi="Arial"/>
          <w:b w:val="1"/>
          <w:bCs w:val="1"/>
          <w:sz w:val="64"/>
          <w:szCs w:val="64"/>
          <w:rtl w:val="0"/>
        </w:rPr>
        <w:t xml:space="preserve">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Times Roman" w:hAnsi="Times Roman"/>
          <w:sz w:val="32"/>
          <w:szCs w:val="32"/>
          <w:rtl w:val="0"/>
        </w:rPr>
        <w:t>B</w:t>
      </w:r>
      <w:r>
        <w:rPr>
          <w:rFonts w:ascii="Times Roman" w:hAnsi="Times Roman"/>
          <w:sz w:val="32"/>
          <w:szCs w:val="32"/>
          <w:rtl w:val="0"/>
          <w:lang w:val="en-US"/>
        </w:rPr>
        <w:t>reatheStim</w:t>
      </w:r>
      <w:r>
        <w:rPr>
          <w:rFonts w:ascii="Times Roman" w:hAnsi="Times Roman"/>
          <w:sz w:val="32"/>
          <w:szCs w:val="32"/>
          <w:rtl w:val="0"/>
          <w:lang w:val="en-US"/>
        </w:rPr>
        <w:t xml:space="preserve"> Appliance</w:t>
      </w:r>
    </w:p>
    <w:p>
      <w:pPr>
        <w:pStyle w:val="Default"/>
        <w:bidi w:val="0"/>
        <w:ind w:left="0" w:right="0" w:firstLine="0"/>
        <w:jc w:val="left"/>
        <w:rPr>
          <w:rFonts w:ascii="Arial" w:cs="Arial" w:hAnsi="Arial" w:eastAsia="Arial"/>
          <w:sz w:val="37"/>
          <w:szCs w:val="37"/>
          <w:rtl w:val="0"/>
        </w:rPr>
      </w:pPr>
      <w:r>
        <w:rPr>
          <w:rFonts w:ascii="Times Roman" w:hAnsi="Times Roman"/>
          <w:sz w:val="32"/>
          <w:szCs w:val="32"/>
          <w:rtl w:val="0"/>
          <w:lang w:val="en-US"/>
        </w:rPr>
        <w:t>Intraoral Device for Snoring</w:t>
      </w:r>
      <w:r>
        <w:rPr>
          <w:rFonts w:ascii="Times Roman" w:hAnsi="Times Roman"/>
          <w:sz w:val="32"/>
          <w:szCs w:val="32"/>
          <w:rtl w:val="0"/>
          <w:lang w:val="en-US"/>
        </w:rPr>
        <w:t xml:space="preserve"> and Mild Sleep Apnea Treatment </w:t>
      </w:r>
    </w:p>
    <w:p>
      <w:pPr>
        <w:pStyle w:val="Default"/>
        <w:bidi w:val="0"/>
        <w:ind w:left="0" w:right="0" w:firstLine="0"/>
        <w:jc w:val="left"/>
        <w:rPr>
          <w:rFonts w:ascii="Arial" w:cs="Arial" w:hAnsi="Arial" w:eastAsia="Arial"/>
          <w:sz w:val="37"/>
          <w:szCs w:val="37"/>
          <w:rtl w:val="0"/>
        </w:rPr>
      </w:pPr>
      <w:r>
        <w:rPr>
          <w:rFonts w:ascii="Times Roman" w:hAnsi="Times Roman"/>
          <w:sz w:val="32"/>
          <w:szCs w:val="32"/>
          <w:rtl w:val="0"/>
          <w:lang w:val="en-US"/>
        </w:rPr>
        <w:t>Device, anti-snoring</w:t>
      </w:r>
      <w:r>
        <w:rPr>
          <w:rFonts w:ascii="Times Roman" w:hAnsi="Times Roman"/>
          <w:sz w:val="32"/>
          <w:szCs w:val="32"/>
          <w:rtl w:val="0"/>
          <w:lang w:val="en-US"/>
        </w:rPr>
        <w:t xml:space="preserve">, mild sleep apnea </w:t>
      </w:r>
      <w:r>
        <w:rPr>
          <w:rFonts w:ascii="Times Roman" w:cs="Times Roman" w:hAnsi="Times Roman" w:eastAsia="Times Roman"/>
          <w:sz w:val="32"/>
          <w:szCs w:val="32"/>
          <w:rtl w:val="0"/>
        </w:rPr>
        <w:br w:type="textWrapping"/>
      </w:r>
      <w:r>
        <w:rPr>
          <w:rFonts w:ascii="Times Roman" w:hAnsi="Times Roman"/>
          <w:sz w:val="32"/>
          <w:szCs w:val="32"/>
          <w:rtl w:val="0"/>
        </w:rPr>
        <w:t>(Class II, 21 CFR 872.5570, Product Code LRK)</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Arial" w:cs="Arial" w:hAnsi="Arial" w:eastAsia="Arial"/>
          <w:sz w:val="37"/>
          <w:szCs w:val="37"/>
          <w:rtl w:val="0"/>
        </w:rPr>
        <w:drawing xmlns:a="http://schemas.openxmlformats.org/drawingml/2006/main">
          <wp:inline distT="0" distB="0" distL="0" distR="0">
            <wp:extent cx="1003300" cy="1270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1003300" cy="12700"/>
                    </a:xfrm>
                    <a:prstGeom prst="rect">
                      <a:avLst/>
                    </a:prstGeom>
                    <a:ln w="12700" cap="flat">
                      <a:noFill/>
                      <a:miter lim="400000"/>
                    </a:ln>
                    <a:effectLst/>
                  </pic:spPr>
                </pic:pic>
              </a:graphicData>
            </a:graphic>
          </wp:inline>
        </w:drawing>
      </w: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 xml:space="preserve">The </w:t>
      </w:r>
      <w:r>
        <w:rPr>
          <w:rFonts w:ascii="Times Roman" w:hAnsi="Times Roman"/>
          <w:sz w:val="29"/>
          <w:szCs w:val="29"/>
          <w:rtl w:val="0"/>
          <w:lang w:val="en-US"/>
        </w:rPr>
        <w:t xml:space="preserve">BreatheStim </w:t>
      </w:r>
      <w:r>
        <w:rPr>
          <w:rFonts w:ascii="Times Roman" w:hAnsi="Times Roman"/>
          <w:sz w:val="29"/>
          <w:szCs w:val="29"/>
          <w:rtl w:val="0"/>
          <w:lang w:val="en-US"/>
        </w:rPr>
        <w:t>Anti-Snoring</w:t>
      </w:r>
      <w:r>
        <w:rPr>
          <w:rFonts w:ascii="Times Roman" w:hAnsi="Times Roman"/>
          <w:sz w:val="29"/>
          <w:szCs w:val="29"/>
          <w:rtl w:val="0"/>
          <w:lang w:val="en-US"/>
        </w:rPr>
        <w:t xml:space="preserve"> and Mild Sleep Apnea</w:t>
      </w:r>
      <w:r>
        <w:rPr>
          <w:rFonts w:ascii="Times Roman" w:hAnsi="Times Roman"/>
          <w:sz w:val="29"/>
          <w:szCs w:val="29"/>
          <w:rtl w:val="0"/>
          <w:lang w:val="en-US"/>
        </w:rPr>
        <w:t xml:space="preserve"> Appliance is a</w:t>
      </w:r>
      <w:r>
        <w:rPr>
          <w:rFonts w:ascii="Times Roman" w:hAnsi="Times Roman"/>
          <w:sz w:val="29"/>
          <w:szCs w:val="29"/>
          <w:rtl w:val="0"/>
          <w:lang w:val="en-US"/>
        </w:rPr>
        <w:t>n integrated</w:t>
      </w:r>
      <w:r>
        <w:rPr>
          <w:rFonts w:ascii="Times Roman" w:hAnsi="Times Roman"/>
          <w:sz w:val="29"/>
          <w:szCs w:val="29"/>
          <w:rtl w:val="0"/>
          <w:lang w:val="en-US"/>
        </w:rPr>
        <w:t xml:space="preserve"> system for intraoral use. The </w:t>
      </w:r>
      <w:r>
        <w:rPr>
          <w:rFonts w:ascii="Times Roman" w:hAnsi="Times Roman"/>
          <w:sz w:val="29"/>
          <w:szCs w:val="29"/>
          <w:rtl w:val="0"/>
          <w:lang w:val="en-US"/>
        </w:rPr>
        <w:t xml:space="preserve"> </w:t>
      </w:r>
      <w:r>
        <w:rPr>
          <w:rFonts w:ascii="Times Roman" w:hAnsi="Times Roman"/>
          <w:sz w:val="29"/>
          <w:szCs w:val="29"/>
          <w:rtl w:val="0"/>
          <w:lang w:val="en-US"/>
        </w:rPr>
        <w:t xml:space="preserve">device </w:t>
      </w:r>
      <w:r>
        <w:rPr>
          <w:rFonts w:ascii="Times Roman" w:hAnsi="Times Roman"/>
          <w:sz w:val="29"/>
          <w:szCs w:val="29"/>
          <w:rtl w:val="0"/>
          <w:lang w:val="en-US"/>
        </w:rPr>
        <w:t>is a combination bioelectric stimulation microcurrent and elastic mouthpiece.</w:t>
      </w:r>
      <w:r>
        <w:rPr>
          <w:rFonts w:ascii="Times Roman" w:hAnsi="Times Roman"/>
          <w:sz w:val="29"/>
          <w:szCs w:val="29"/>
          <w:rtl w:val="0"/>
          <w:lang w:val="en-US"/>
        </w:rPr>
        <w:t xml:space="preserve"> It features elastic </w:t>
      </w:r>
      <w:r>
        <w:rPr>
          <w:rFonts w:ascii="Times Roman" w:hAnsi="Times Roman"/>
          <w:sz w:val="29"/>
          <w:szCs w:val="29"/>
          <w:rtl w:val="0"/>
          <w:lang w:val="en-US"/>
        </w:rPr>
        <w:t xml:space="preserve">elements </w:t>
      </w:r>
      <w:r>
        <w:rPr>
          <w:rFonts w:ascii="Times Roman" w:hAnsi="Times Roman"/>
          <w:sz w:val="29"/>
          <w:szCs w:val="29"/>
          <w:rtl w:val="0"/>
          <w:lang w:val="en-US"/>
        </w:rPr>
        <w:t xml:space="preserve">that span the device that </w:t>
      </w:r>
      <w:r>
        <w:rPr>
          <w:rFonts w:ascii="Times Roman" w:hAnsi="Times Roman"/>
          <w:sz w:val="29"/>
          <w:szCs w:val="29"/>
          <w:rtl w:val="0"/>
          <w:lang w:val="en-US"/>
        </w:rPr>
        <w:t>are</w:t>
      </w:r>
      <w:r>
        <w:rPr>
          <w:rFonts w:ascii="Times Roman" w:hAnsi="Times Roman"/>
          <w:sz w:val="29"/>
          <w:szCs w:val="29"/>
          <w:rtl w:val="0"/>
          <w:lang w:val="en-US"/>
        </w:rPr>
        <w:t xml:space="preserve"> designed to keep the tongue in place during sleep, instead of blocking the airway and contributing to snoring</w:t>
      </w:r>
      <w:r>
        <w:rPr>
          <w:rFonts w:ascii="Times Roman" w:hAnsi="Times Roman"/>
          <w:sz w:val="29"/>
          <w:szCs w:val="29"/>
          <w:rtl w:val="0"/>
          <w:lang w:val="en-US"/>
        </w:rPr>
        <w:t xml:space="preserve"> and to reduce inflammation and tighten tissues to provide long lasting breathing relief including elimination or reduction of snoring</w:t>
      </w:r>
      <w:r>
        <w:rPr>
          <w:rFonts w:ascii="Times Roman" w:hAnsi="Times Roman"/>
          <w:sz w:val="29"/>
          <w:szCs w:val="29"/>
          <w:rtl w:val="0"/>
          <w:lang w:val="en-US"/>
        </w:rPr>
        <w:t xml:space="preserve">. The product is non-sterile </w:t>
      </w:r>
      <w:r>
        <w:rPr>
          <w:rFonts w:ascii="Times Roman" w:hAnsi="Times Roman"/>
          <w:sz w:val="29"/>
          <w:szCs w:val="29"/>
          <w:rtl w:val="0"/>
          <w:lang w:val="en-US"/>
        </w:rPr>
        <w:t>a</w:t>
      </w:r>
      <w:r>
        <w:rPr>
          <w:rFonts w:ascii="Times Roman" w:hAnsi="Times Roman"/>
          <w:sz w:val="29"/>
          <w:szCs w:val="29"/>
          <w:rtl w:val="0"/>
          <w:lang w:val="en-US"/>
        </w:rPr>
        <w:t xml:space="preserve">nd provided in a sealed box with directions for use.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New Roman" w:hAnsi="Times New Roman"/>
          <w:b w:val="1"/>
          <w:bCs w:val="1"/>
          <w:sz w:val="29"/>
          <w:szCs w:val="29"/>
          <w:rtl w:val="0"/>
          <w:lang w:val="en-US"/>
        </w:rPr>
        <w:t>Indications for Use</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New Roman" w:cs="Times New Roman" w:hAnsi="Times New Roman" w:eastAsia="Times New Roman"/>
          <w:sz w:val="29"/>
          <w:szCs w:val="29"/>
          <w:rtl w:val="0"/>
        </w:rPr>
      </w:pPr>
      <w:r>
        <w:rPr>
          <w:rFonts w:ascii="Times New Roman" w:hAnsi="Times New Roman"/>
          <w:sz w:val="29"/>
          <w:szCs w:val="29"/>
          <w:rtl w:val="0"/>
          <w:lang w:val="en-US"/>
        </w:rPr>
        <w:t>BreatheStim</w:t>
      </w:r>
      <w:r>
        <w:rPr>
          <w:rFonts w:ascii="Times New Roman" w:hAnsi="Times New Roman"/>
          <w:sz w:val="29"/>
          <w:szCs w:val="29"/>
          <w:rtl w:val="0"/>
          <w:lang w:val="en-US"/>
        </w:rPr>
        <w:t xml:space="preserve"> is intended for use by adult patients (18 years or older) as an aid to reduce snoring</w:t>
      </w:r>
      <w:r>
        <w:rPr>
          <w:rFonts w:ascii="Times New Roman" w:hAnsi="Times New Roman"/>
          <w:sz w:val="29"/>
          <w:szCs w:val="29"/>
          <w:rtl w:val="0"/>
          <w:lang w:val="en-US"/>
        </w:rPr>
        <w:t xml:space="preserve"> and to provide relief of mild sleep apnea.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lang w:val="en-US"/>
        </w:rPr>
        <w:t>10. Technological Characteristics</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xml:space="preserve">The appliance is equivalent in design and functionality to the predicate, prescription </w:t>
      </w:r>
      <w:r>
        <w:rPr>
          <w:rFonts w:ascii="Times Roman" w:hAnsi="Times Roman"/>
          <w:sz w:val="29"/>
          <w:szCs w:val="29"/>
          <w:rtl w:val="0"/>
          <w:lang w:val="en-US"/>
        </w:rPr>
        <w:t xml:space="preserve">Dr. Greenbergs Hybrid </w:t>
      </w:r>
      <w:r>
        <w:rPr>
          <w:rFonts w:ascii="Times Roman" w:hAnsi="Times Roman"/>
          <w:sz w:val="29"/>
          <w:szCs w:val="29"/>
          <w:rtl w:val="0"/>
          <w:lang w:val="en-US"/>
        </w:rPr>
        <w:t xml:space="preserve">device (K111680). Both devices work by depressing the tongue during sleep to open the airway and reduce the incidence of snoring, in addition to advancing the mandible. </w:t>
      </w:r>
      <w:r>
        <w:rPr>
          <w:rFonts w:ascii="Times Roman" w:hAnsi="Times Roman"/>
          <w:sz w:val="29"/>
          <w:szCs w:val="29"/>
          <w:rtl w:val="0"/>
          <w:lang w:val="en-US"/>
        </w:rPr>
        <w:t xml:space="preserve"> </w:t>
      </w:r>
      <w:r>
        <w:rPr>
          <w:rFonts w:ascii="Times Roman" w:hAnsi="Times Roman"/>
          <w:sz w:val="29"/>
          <w:szCs w:val="29"/>
          <w:rtl w:val="0"/>
          <w:lang w:val="en-US"/>
        </w:rPr>
        <w:t>Both</w:t>
      </w:r>
      <w:r>
        <w:rPr>
          <w:rFonts w:ascii="Times Roman" w:hAnsi="Times Roman"/>
          <w:sz w:val="29"/>
          <w:szCs w:val="29"/>
          <w:rtl w:val="0"/>
          <w:lang w:val="en-US"/>
        </w:rPr>
        <w:t xml:space="preserve"> mouthpieces</w:t>
      </w:r>
      <w:r>
        <w:rPr>
          <w:rFonts w:ascii="Times Roman" w:hAnsi="Times Roman"/>
          <w:sz w:val="29"/>
          <w:szCs w:val="29"/>
          <w:rtl w:val="0"/>
          <w:lang w:val="en-US"/>
        </w:rPr>
        <w:t xml:space="preserve"> use the </w:t>
      </w:r>
      <w:r>
        <w:rPr>
          <w:rFonts w:ascii="Times Roman" w:hAnsi="Times Roman"/>
          <w:sz w:val="29"/>
          <w:szCs w:val="29"/>
          <w:rtl w:val="0"/>
          <w:lang w:val="en-US"/>
        </w:rPr>
        <w:t>similar</w:t>
      </w:r>
      <w:r>
        <w:rPr>
          <w:rFonts w:ascii="Times Roman" w:hAnsi="Times Roman"/>
          <w:sz w:val="29"/>
          <w:szCs w:val="29"/>
          <w:rtl w:val="0"/>
          <w:lang w:val="en-US"/>
        </w:rPr>
        <w:t xml:space="preserve"> materials and manufacturing process</w:t>
      </w:r>
      <w:r>
        <w:rPr>
          <w:rFonts w:ascii="Times Roman" w:hAnsi="Times Roman"/>
          <w:sz w:val="29"/>
          <w:szCs w:val="29"/>
          <w:rtl w:val="0"/>
          <w:lang w:val="en-US"/>
        </w:rPr>
        <w:t>es</w:t>
      </w:r>
      <w:r>
        <w:rPr>
          <w:rFonts w:ascii="Times Roman" w:hAnsi="Times Roman"/>
          <w:sz w:val="29"/>
          <w:szCs w:val="29"/>
          <w:rtl w:val="0"/>
          <w:lang w:val="en-US"/>
        </w:rPr>
        <w:t xml:space="preserve">. Both devices are provided non-sterile. The </w:t>
      </w:r>
      <w:r>
        <w:rPr>
          <w:rFonts w:ascii="Times Roman" w:hAnsi="Times Roman"/>
          <w:sz w:val="29"/>
          <w:szCs w:val="29"/>
          <w:rtl w:val="0"/>
          <w:lang w:val="en-US"/>
        </w:rPr>
        <w:t xml:space="preserve">primary </w:t>
      </w:r>
      <w:r>
        <w:rPr>
          <w:rFonts w:ascii="Times Roman" w:hAnsi="Times Roman"/>
          <w:sz w:val="29"/>
          <w:szCs w:val="29"/>
          <w:rtl w:val="0"/>
          <w:lang w:val="en-US"/>
        </w:rPr>
        <w:t xml:space="preserve">difference between the subject and predicate device is the </w:t>
      </w:r>
      <w:r>
        <w:rPr>
          <w:rFonts w:ascii="Times Roman" w:hAnsi="Times Roman"/>
          <w:sz w:val="29"/>
          <w:szCs w:val="29"/>
          <w:rtl w:val="0"/>
          <w:lang w:val="en-US"/>
        </w:rPr>
        <w:t>addition of faint microcurrent signals to aide in reducing inflammation and to tighten tissues</w:t>
      </w:r>
      <w:r>
        <w:rPr>
          <w:rFonts w:ascii="Times Roman" w:hAnsi="Times Roman"/>
          <w:sz w:val="29"/>
          <w:szCs w:val="29"/>
          <w:rtl w:val="0"/>
        </w:rPr>
        <w:t xml:space="preserve">. </w:t>
      </w:r>
      <w:r>
        <w:rPr>
          <w:rFonts w:ascii="Times Roman" w:hAnsi="Times Roman"/>
          <w:sz w:val="29"/>
          <w:szCs w:val="29"/>
          <w:rtl w:val="0"/>
          <w:lang w:val="en-US"/>
        </w:rPr>
        <w:t xml:space="preserve">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The appliance has similar labeling as the OTC reference predicate devices, SnoreRx and ZQuiet. It utilizes a validated questionnaire to assess the risk of sleep apnea, and contains appropriate warnings and labeling for the device to be used without a prescription.</w:t>
      </w:r>
    </w:p>
    <w:tbl>
      <w:tblPr>
        <w:tblW w:w="1296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30"/>
        <w:gridCol w:w="2582"/>
        <w:gridCol w:w="3857"/>
        <w:gridCol w:w="3027"/>
        <w:gridCol w:w="2464"/>
      </w:tblGrid>
      <w:tr>
        <w:tblPrEx>
          <w:shd w:val="clear" w:color="auto" w:fill="auto"/>
        </w:tblPrEx>
        <w:trPr>
          <w:trHeight w:val="758"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b w:val="0"/>
                <w:bCs w:val="0"/>
                <w:sz w:val="37"/>
                <w:szCs w:val="37"/>
                <w:rtl w:val="0"/>
              </w:rPr>
            </w:pPr>
            <w:r>
              <w:rPr>
                <w:rFonts w:ascii="Times Roman" w:hAnsi="Times Roman"/>
                <w:b w:val="1"/>
                <w:bCs w:val="1"/>
                <w:sz w:val="27"/>
                <w:szCs w:val="27"/>
                <w:rtl w:val="0"/>
                <w:lang w:val="en-US"/>
              </w:rPr>
              <w:t>Subject</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b w:val="1"/>
                <w:bCs w:val="1"/>
                <w:sz w:val="27"/>
                <w:szCs w:val="27"/>
                <w:rtl w:val="0"/>
              </w:rPr>
              <w:t>Prescription Predicate</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b w:val="0"/>
                <w:bCs w:val="0"/>
                <w:sz w:val="37"/>
                <w:szCs w:val="37"/>
                <w:rtl w:val="0"/>
              </w:rPr>
            </w:pPr>
            <w:r>
              <w:rPr>
                <w:rFonts w:ascii="Times Roman" w:hAnsi="Times Roman"/>
                <w:b w:val="1"/>
                <w:bCs w:val="1"/>
                <w:sz w:val="27"/>
                <w:szCs w:val="27"/>
                <w:rtl w:val="0"/>
                <w:lang w:val="en-US"/>
              </w:rPr>
              <w:t>OTC Reference Predicate</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b w:val="0"/>
                <w:bCs w:val="0"/>
                <w:sz w:val="37"/>
                <w:szCs w:val="37"/>
                <w:rtl w:val="0"/>
              </w:rPr>
            </w:pPr>
            <w:r>
              <w:rPr>
                <w:rFonts w:ascii="Times Roman" w:hAnsi="Times Roman"/>
                <w:b w:val="1"/>
                <w:bCs w:val="1"/>
                <w:sz w:val="27"/>
                <w:szCs w:val="27"/>
                <w:rtl w:val="0"/>
                <w:lang w:val="en-US"/>
              </w:rPr>
              <w:t>OTC Reference Predicate</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r>
      <w:tr>
        <w:tblPrEx>
          <w:shd w:val="clear" w:color="auto" w:fill="auto"/>
        </w:tblPrEx>
        <w:trPr>
          <w:trHeight w:val="650"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Name</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BreatheStim Anti- Snoring and Mild Sleep Apnea Appliance</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Dr. Greenburg</w:t>
            </w:r>
            <w:r>
              <w:rPr>
                <w:rFonts w:ascii="Times Roman" w:hAnsi="Times Roman" w:hint="default"/>
                <w:sz w:val="27"/>
                <w:szCs w:val="27"/>
                <w:rtl w:val="0"/>
              </w:rPr>
              <w:t>’</w:t>
            </w:r>
            <w:r>
              <w:rPr>
                <w:rFonts w:ascii="Times Roman" w:hAnsi="Times Roman"/>
                <w:sz w:val="27"/>
                <w:szCs w:val="27"/>
                <w:rtl w:val="0"/>
              </w:rPr>
              <w:t>s Hybrid</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SnoreRx</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ZQuiet</w:t>
            </w:r>
          </w:p>
        </w:tc>
      </w:tr>
      <w:tr>
        <w:tblPrEx>
          <w:shd w:val="clear" w:color="auto" w:fill="auto"/>
        </w:tblPrEx>
        <w:trPr>
          <w:trHeight w:val="758"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Classification Name</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Device, anti- snoring</w:t>
            </w:r>
            <w:r>
              <w:rPr>
                <w:rFonts w:ascii="Times Roman" w:hAnsi="Times Roman"/>
                <w:sz w:val="27"/>
                <w:szCs w:val="27"/>
                <w:rtl w:val="0"/>
                <w:lang w:val="en-US"/>
              </w:rPr>
              <w:t xml:space="preserve">. </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1" name="officeArt object" descr="Image"/>
                  <wp:cNvGraphicFramePr/>
                  <a:graphic xmlns:a="http://schemas.openxmlformats.org/drawingml/2006/main">
                    <a:graphicData uri="http://schemas.openxmlformats.org/drawingml/2006/picture">
                      <pic:pic xmlns:pic="http://schemas.openxmlformats.org/drawingml/2006/picture">
                        <pic:nvPicPr>
                          <pic:cNvPr id="1073741831"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Device, anti- snoring</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Device, anti- snoring</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3" name="officeArt object" descr="Image"/>
                  <wp:cNvGraphicFramePr/>
                  <a:graphic xmlns:a="http://schemas.openxmlformats.org/drawingml/2006/main">
                    <a:graphicData uri="http://schemas.openxmlformats.org/drawingml/2006/picture">
                      <pic:pic xmlns:pic="http://schemas.openxmlformats.org/drawingml/2006/picture">
                        <pic:nvPicPr>
                          <pic:cNvPr id="1073741833"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34" name="officeArt object" descr="Image"/>
                  <wp:cNvGraphicFramePr/>
                  <a:graphic xmlns:a="http://schemas.openxmlformats.org/drawingml/2006/main">
                    <a:graphicData uri="http://schemas.openxmlformats.org/drawingml/2006/picture">
                      <pic:pic xmlns:pic="http://schemas.openxmlformats.org/drawingml/2006/picture">
                        <pic:nvPicPr>
                          <pic:cNvPr id="1073741834"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35" name="officeArt object" descr="Image"/>
                  <wp:cNvGraphicFramePr/>
                  <a:graphic xmlns:a="http://schemas.openxmlformats.org/drawingml/2006/main">
                    <a:graphicData uri="http://schemas.openxmlformats.org/drawingml/2006/picture">
                      <pic:pic xmlns:pic="http://schemas.openxmlformats.org/drawingml/2006/picture">
                        <pic:nvPicPr>
                          <pic:cNvPr id="1073741835"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36" name="officeArt object" descr="Image"/>
                  <wp:cNvGraphicFramePr/>
                  <a:graphic xmlns:a="http://schemas.openxmlformats.org/drawingml/2006/main">
                    <a:graphicData uri="http://schemas.openxmlformats.org/drawingml/2006/picture">
                      <pic:pic xmlns:pic="http://schemas.openxmlformats.org/drawingml/2006/picture">
                        <pic:nvPicPr>
                          <pic:cNvPr id="1073741836"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Device, anti- snoring</w:t>
            </w:r>
          </w:p>
        </w:tc>
      </w:tr>
      <w:tr>
        <w:tblPrEx>
          <w:shd w:val="clear" w:color="auto" w:fill="auto"/>
        </w:tblPrEx>
        <w:trPr>
          <w:trHeight w:val="360"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510(k) Number</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Pending</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K111680</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K170825</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K180124</w:t>
            </w:r>
          </w:p>
        </w:tc>
      </w:tr>
      <w:tr>
        <w:tblPrEx>
          <w:shd w:val="clear" w:color="auto" w:fill="auto"/>
        </w:tblPrEx>
        <w:trPr>
          <w:trHeight w:val="758"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Class</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II</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II</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II</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II</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8" name="officeArt object" descr="Image"/>
                  <wp:cNvGraphicFramePr/>
                  <a:graphic xmlns:a="http://schemas.openxmlformats.org/drawingml/2006/main">
                    <a:graphicData uri="http://schemas.openxmlformats.org/drawingml/2006/picture">
                      <pic:pic xmlns:pic="http://schemas.openxmlformats.org/drawingml/2006/picture">
                        <pic:nvPicPr>
                          <pic:cNvPr id="1073741838"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r>
      <w:tr>
        <w:tblPrEx>
          <w:shd w:val="clear" w:color="auto" w:fill="auto"/>
        </w:tblPrEx>
        <w:trPr>
          <w:trHeight w:val="758"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Product Code</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fr-FR"/>
              </w:rPr>
              <w:t>LRK</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LRK</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fr-FR"/>
              </w:rPr>
              <w:t>LRK</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41" name="officeArt object" descr="Image"/>
                  <wp:cNvGraphicFramePr/>
                  <a:graphic xmlns:a="http://schemas.openxmlformats.org/drawingml/2006/main">
                    <a:graphicData uri="http://schemas.openxmlformats.org/drawingml/2006/picture">
                      <pic:pic xmlns:pic="http://schemas.openxmlformats.org/drawingml/2006/picture">
                        <pic:nvPicPr>
                          <pic:cNvPr id="1073741841"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LRK</w:t>
            </w:r>
          </w:p>
        </w:tc>
      </w:tr>
      <w:tr>
        <w:tblPrEx>
          <w:shd w:val="clear" w:color="auto" w:fill="auto"/>
        </w:tblPrEx>
        <w:trPr>
          <w:trHeight w:val="758"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21 CFR</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2" name="officeArt object" descr="Image"/>
                  <wp:cNvGraphicFramePr/>
                  <a:graphic xmlns:a="http://schemas.openxmlformats.org/drawingml/2006/main">
                    <a:graphicData uri="http://schemas.openxmlformats.org/drawingml/2006/picture">
                      <pic:pic xmlns:pic="http://schemas.openxmlformats.org/drawingml/2006/picture">
                        <pic:nvPicPr>
                          <pic:cNvPr id="1073741842"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872.5570</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3" name="officeArt object" descr="Image"/>
                  <wp:cNvGraphicFramePr/>
                  <a:graphic xmlns:a="http://schemas.openxmlformats.org/drawingml/2006/main">
                    <a:graphicData uri="http://schemas.openxmlformats.org/drawingml/2006/picture">
                      <pic:pic xmlns:pic="http://schemas.openxmlformats.org/drawingml/2006/picture">
                        <pic:nvPicPr>
                          <pic:cNvPr id="1073741843"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7"/>
                <w:szCs w:val="27"/>
                <w:u w:val="none"/>
                <w:shd w:val="nil" w:color="auto" w:fill="auto"/>
                <w:vertAlign w:val="baseline"/>
                <w:rtl w:val="0"/>
                <w14:textOutline>
                  <w14:noFill/>
                </w14:textOutline>
                <w14:textFill>
                  <w14:solidFill>
                    <w14:srgbClr w14:val="000000"/>
                  </w14:solidFill>
                </w14:textFill>
              </w:rPr>
              <w:t>872.5570</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872.5570</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4" name="officeArt object" descr="Image"/>
                  <wp:cNvGraphicFramePr/>
                  <a:graphic xmlns:a="http://schemas.openxmlformats.org/drawingml/2006/main">
                    <a:graphicData uri="http://schemas.openxmlformats.org/drawingml/2006/picture">
                      <pic:pic xmlns:pic="http://schemas.openxmlformats.org/drawingml/2006/picture">
                        <pic:nvPicPr>
                          <pic:cNvPr id="1073741844"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45" name="officeArt object" descr="Image"/>
                  <wp:cNvGraphicFramePr/>
                  <a:graphic xmlns:a="http://schemas.openxmlformats.org/drawingml/2006/main">
                    <a:graphicData uri="http://schemas.openxmlformats.org/drawingml/2006/picture">
                      <pic:pic xmlns:pic="http://schemas.openxmlformats.org/drawingml/2006/picture">
                        <pic:nvPicPr>
                          <pic:cNvPr id="1073741845"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872.5570</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6" name="officeArt object" descr="Image"/>
                  <wp:cNvGraphicFramePr/>
                  <a:graphic xmlns:a="http://schemas.openxmlformats.org/drawingml/2006/main">
                    <a:graphicData uri="http://schemas.openxmlformats.org/drawingml/2006/picture">
                      <pic:pic xmlns:pic="http://schemas.openxmlformats.org/drawingml/2006/picture">
                        <pic:nvPicPr>
                          <pic:cNvPr id="1073741846"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r>
      <w:tr>
        <w:tblPrEx>
          <w:shd w:val="clear" w:color="auto" w:fill="auto"/>
        </w:tblPrEx>
        <w:trPr>
          <w:trHeight w:val="970"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Technology &amp; Mechanism of Action</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Repositioning the tongue, mandibular advancement</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Repositioning the tongue, mandibular advancement</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Mandibular advancement</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Mandibular advancement</w:t>
            </w:r>
          </w:p>
        </w:tc>
      </w:tr>
      <w:tr>
        <w:tblPrEx>
          <w:shd w:val="clear" w:color="auto" w:fill="auto"/>
        </w:tblPrEx>
        <w:trPr>
          <w:trHeight w:val="650"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Indications for use</w:t>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BreatheStim is intended for use by adult patients (18 years or older) as an aid to reduce snoring.</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This appliance is indicated for persons 18 years or older, who wish to reduce the incidence of snoring and/or mild to moderate sleep apnea.</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hint="default"/>
                <w:sz w:val="27"/>
                <w:szCs w:val="27"/>
                <w:rtl w:val="0"/>
              </w:rPr>
              <w:t>“</w:t>
            </w:r>
            <w:r>
              <w:rPr>
                <w:rFonts w:ascii="Times Roman" w:hAnsi="Times Roman"/>
                <w:sz w:val="27"/>
                <w:szCs w:val="27"/>
                <w:rtl w:val="0"/>
              </w:rPr>
              <w:t>SnoreRx is intended for use on adult patients 18 years of age or older as an aid for the reduction of snoring</w:t>
            </w:r>
            <w:r>
              <w:rPr>
                <w:rFonts w:ascii="Times Roman" w:hAnsi="Times Roman" w:hint="default"/>
                <w:sz w:val="27"/>
                <w:szCs w:val="27"/>
                <w:rtl w:val="0"/>
              </w:rPr>
              <w:t>”</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hint="default"/>
                <w:sz w:val="27"/>
                <w:szCs w:val="27"/>
                <w:rtl w:val="0"/>
              </w:rPr>
              <w:t>“</w:t>
            </w:r>
            <w:r>
              <w:rPr>
                <w:rFonts w:ascii="Times Roman" w:hAnsi="Times Roman"/>
                <w:sz w:val="27"/>
                <w:szCs w:val="27"/>
                <w:rtl w:val="0"/>
              </w:rPr>
              <w:t>ZQuiet is intended as an aid in the reduction of snoring for adults at least 18 years old.</w:t>
            </w:r>
            <w:r>
              <w:rPr>
                <w:rFonts w:ascii="Times Roman" w:hAnsi="Times Roman" w:hint="default"/>
                <w:sz w:val="27"/>
                <w:szCs w:val="27"/>
                <w:rtl w:val="0"/>
              </w:rPr>
              <w:t>”</w:t>
            </w:r>
          </w:p>
        </w:tc>
      </w:tr>
      <w:tr>
        <w:tblPrEx>
          <w:shd w:val="clear" w:color="auto" w:fill="auto"/>
        </w:tblPrEx>
        <w:trPr>
          <w:trHeight w:val="909" w:hRule="atLeast"/>
        </w:trPr>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Prescription Status</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7"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317500"/>
                  <wp:effectExtent l="0" t="0" r="0" b="0"/>
                  <wp:docPr id="1073741848" name="officeArt object" descr="Image"/>
                  <wp:cNvGraphicFramePr/>
                  <a:graphic xmlns:a="http://schemas.openxmlformats.org/drawingml/2006/main">
                    <a:graphicData uri="http://schemas.openxmlformats.org/drawingml/2006/picture">
                      <pic:pic xmlns:pic="http://schemas.openxmlformats.org/drawingml/2006/picture">
                        <pic:nvPicPr>
                          <pic:cNvPr id="1073741848" name="Image" descr="Image"/>
                          <pic:cNvPicPr>
                            <a:picLocks noChangeAspect="1"/>
                          </pic:cNvPicPr>
                        </pic:nvPicPr>
                        <pic:blipFill>
                          <a:blip r:embed="rId7">
                            <a:extLst/>
                          </a:blip>
                          <a:stretch>
                            <a:fillRect/>
                          </a:stretch>
                        </pic:blipFill>
                        <pic:spPr>
                          <a:xfrm>
                            <a:off x="0" y="0"/>
                            <a:ext cx="12700" cy="317500"/>
                          </a:xfrm>
                          <a:prstGeom prst="rect">
                            <a:avLst/>
                          </a:prstGeom>
                          <a:ln w="12700" cap="flat">
                            <a:noFill/>
                            <a:miter lim="400000"/>
                          </a:ln>
                          <a:effectLst/>
                        </pic:spPr>
                      </pic:pic>
                    </a:graphicData>
                  </a:graphic>
                </wp:inline>
              </w:drawing>
            </w:r>
          </w:p>
        </w:tc>
        <w:tc>
          <w:tcPr>
            <w:tcW w:type="dxa" w:w="2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OTC</w:t>
            </w:r>
          </w:p>
        </w:tc>
        <w:tc>
          <w:tcPr>
            <w:tcW w:type="dxa" w:w="38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Prescription</w:t>
            </w:r>
          </w:p>
        </w:tc>
        <w:tc>
          <w:tcPr>
            <w:tcW w:type="dxa" w:w="30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OTC</w:t>
            </w:r>
          </w:p>
        </w:tc>
        <w:tc>
          <w:tcPr>
            <w:tcW w:type="dxa" w:w="24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OTC</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49" name="officeArt object" descr="Image"/>
                  <wp:cNvGraphicFramePr/>
                  <a:graphic xmlns:a="http://schemas.openxmlformats.org/drawingml/2006/main">
                    <a:graphicData uri="http://schemas.openxmlformats.org/drawingml/2006/picture">
                      <pic:pic xmlns:pic="http://schemas.openxmlformats.org/drawingml/2006/picture">
                        <pic:nvPicPr>
                          <pic:cNvPr id="1073741849"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317500"/>
                  <wp:effectExtent l="0" t="0" r="0" b="0"/>
                  <wp:docPr id="1073741850" name="officeArt object" descr="Image"/>
                  <wp:cNvGraphicFramePr/>
                  <a:graphic xmlns:a="http://schemas.openxmlformats.org/drawingml/2006/main">
                    <a:graphicData uri="http://schemas.openxmlformats.org/drawingml/2006/picture">
                      <pic:pic xmlns:pic="http://schemas.openxmlformats.org/drawingml/2006/picture">
                        <pic:nvPicPr>
                          <pic:cNvPr id="1073741850" name="Image" descr="Image"/>
                          <pic:cNvPicPr>
                            <a:picLocks noChangeAspect="1"/>
                          </pic:cNvPicPr>
                        </pic:nvPicPr>
                        <pic:blipFill>
                          <a:blip r:embed="rId8">
                            <a:extLst/>
                          </a:blip>
                          <a:stretch>
                            <a:fillRect/>
                          </a:stretch>
                        </pic:blipFill>
                        <pic:spPr>
                          <a:xfrm>
                            <a:off x="0" y="0"/>
                            <a:ext cx="12700" cy="317500"/>
                          </a:xfrm>
                          <a:prstGeom prst="rect">
                            <a:avLst/>
                          </a:prstGeom>
                          <a:ln w="12700" cap="flat">
                            <a:noFill/>
                            <a:miter lim="400000"/>
                          </a:ln>
                          <a:effectLst/>
                        </pic:spPr>
                      </pic:pic>
                    </a:graphicData>
                  </a:graphic>
                </wp:inline>
              </w:drawing>
            </w:r>
          </w:p>
        </w:tc>
      </w:tr>
    </w:tbl>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ru-RU"/>
        </w:rPr>
        <w:t>5-1</w:t>
      </w:r>
    </w:p>
    <w:tbl>
      <w:tblPr>
        <w:tblW w:w="1296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99"/>
        <w:gridCol w:w="4489"/>
        <w:gridCol w:w="4490"/>
        <w:gridCol w:w="233"/>
        <w:gridCol w:w="2649"/>
      </w:tblGrid>
      <w:tr>
        <w:tblPrEx>
          <w:shd w:val="clear" w:color="auto" w:fill="auto"/>
        </w:tblPrEx>
        <w:trPr>
          <w:trHeight w:val="1078" w:hRule="atLeast"/>
        </w:trPr>
        <w:tc>
          <w:tcPr>
            <w:tcW w:type="dxa" w:w="10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Provided Sterile</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51" name="officeArt object" descr="Image"/>
                  <wp:cNvGraphicFramePr/>
                  <a:graphic xmlns:a="http://schemas.openxmlformats.org/drawingml/2006/main">
                    <a:graphicData uri="http://schemas.openxmlformats.org/drawingml/2006/picture">
                      <pic:pic xmlns:pic="http://schemas.openxmlformats.org/drawingml/2006/picture">
                        <pic:nvPicPr>
                          <pic:cNvPr id="1073741851"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44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No</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52" name="officeArt object" descr="Image"/>
                  <wp:cNvGraphicFramePr/>
                  <a:graphic xmlns:a="http://schemas.openxmlformats.org/drawingml/2006/main">
                    <a:graphicData uri="http://schemas.openxmlformats.org/drawingml/2006/picture">
                      <pic:pic xmlns:pic="http://schemas.openxmlformats.org/drawingml/2006/picture">
                        <pic:nvPicPr>
                          <pic:cNvPr id="1073741852"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44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No</w:t>
            </w:r>
          </w:p>
        </w:tc>
        <w:tc>
          <w:tcPr>
            <w:tcW w:type="dxa" w:w="2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No</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53" name="officeArt object" descr="Image"/>
                  <wp:cNvGraphicFramePr/>
                  <a:graphic xmlns:a="http://schemas.openxmlformats.org/drawingml/2006/main">
                    <a:graphicData uri="http://schemas.openxmlformats.org/drawingml/2006/picture">
                      <pic:pic xmlns:pic="http://schemas.openxmlformats.org/drawingml/2006/picture">
                        <pic:nvPicPr>
                          <pic:cNvPr id="1073741853"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r>
              <w:rPr>
                <w:rFonts w:ascii="Arial" w:hAnsi="Arial"/>
                <w:sz w:val="37"/>
                <w:szCs w:val="37"/>
                <w:rtl w:val="0"/>
              </w:rPr>
              <w:t xml:space="preserve"> </w:t>
            </w:r>
            <w:r>
              <w:rPr>
                <w:rFonts w:ascii="Arial" w:cs="Arial" w:hAnsi="Arial" w:eastAsia="Arial"/>
                <w:sz w:val="37"/>
                <w:szCs w:val="37"/>
                <w:rtl w:val="0"/>
              </w:rPr>
              <w:drawing xmlns:a="http://schemas.openxmlformats.org/drawingml/2006/main">
                <wp:inline distT="0" distB="0" distL="0" distR="0">
                  <wp:extent cx="12700" cy="12700"/>
                  <wp:effectExtent l="0" t="0" r="0" b="0"/>
                  <wp:docPr id="1073741854" name="officeArt object" descr="Image"/>
                  <wp:cNvGraphicFramePr/>
                  <a:graphic xmlns:a="http://schemas.openxmlformats.org/drawingml/2006/main">
                    <a:graphicData uri="http://schemas.openxmlformats.org/drawingml/2006/picture">
                      <pic:pic xmlns:pic="http://schemas.openxmlformats.org/drawingml/2006/picture">
                        <pic:nvPicPr>
                          <pic:cNvPr id="1073741854" name="Image" descr="Image"/>
                          <pic:cNvPicPr>
                            <a:picLocks noChangeAspect="1"/>
                          </pic:cNvPicPr>
                        </pic:nvPicPr>
                        <pic:blipFill>
                          <a:blip r:embed="rId6">
                            <a:extLst/>
                          </a:blip>
                          <a:stretch>
                            <a:fillRect/>
                          </a:stretch>
                        </pic:blipFill>
                        <pic:spPr>
                          <a:xfrm>
                            <a:off x="0" y="0"/>
                            <a:ext cx="12700" cy="12700"/>
                          </a:xfrm>
                          <a:prstGeom prst="rect">
                            <a:avLst/>
                          </a:prstGeom>
                          <a:ln w="12700" cap="flat">
                            <a:noFill/>
                            <a:miter lim="400000"/>
                          </a:ln>
                          <a:effectLst/>
                        </pic:spPr>
                      </pic:pic>
                    </a:graphicData>
                  </a:graphic>
                </wp:inline>
              </w:drawing>
            </w:r>
          </w:p>
        </w:tc>
        <w:tc>
          <w:tcPr>
            <w:tcW w:type="dxa" w:w="2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rPr>
              <w:t>No</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12700"/>
                  <wp:effectExtent l="0" t="0" r="0" b="0"/>
                  <wp:docPr id="1073741855" name="officeArt object" descr="Image"/>
                  <wp:cNvGraphicFramePr/>
                  <a:graphic xmlns:a="http://schemas.openxmlformats.org/drawingml/2006/main">
                    <a:graphicData uri="http://schemas.openxmlformats.org/drawingml/2006/picture">
                      <pic:pic xmlns:pic="http://schemas.openxmlformats.org/drawingml/2006/picture">
                        <pic:nvPicPr>
                          <pic:cNvPr id="1073741855" name="Image" descr="Image"/>
                          <pic:cNvPicPr>
                            <a:picLocks noChangeAspect="1"/>
                          </pic:cNvPicPr>
                        </pic:nvPicPr>
                        <pic:blipFill>
                          <a:blip r:embed="rId5">
                            <a:extLst/>
                          </a:blip>
                          <a:stretch>
                            <a:fillRect/>
                          </a:stretch>
                        </pic:blipFill>
                        <pic:spPr>
                          <a:xfrm>
                            <a:off x="0" y="0"/>
                            <a:ext cx="12700" cy="12700"/>
                          </a:xfrm>
                          <a:prstGeom prst="rect">
                            <a:avLst/>
                          </a:prstGeom>
                          <a:ln w="12700" cap="flat">
                            <a:noFill/>
                            <a:miter lim="400000"/>
                          </a:ln>
                          <a:effectLst/>
                        </pic:spPr>
                      </pic:pic>
                    </a:graphicData>
                  </a:graphic>
                </wp:inline>
              </w:drawing>
            </w:r>
          </w:p>
        </w:tc>
      </w:tr>
      <w:tr>
        <w:tblPrEx>
          <w:shd w:val="clear" w:color="auto" w:fill="auto"/>
        </w:tblPrEx>
        <w:trPr>
          <w:trHeight w:val="1969" w:hRule="atLeast"/>
        </w:trPr>
        <w:tc>
          <w:tcPr>
            <w:tcW w:type="dxa" w:w="10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Materials</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787400"/>
                  <wp:effectExtent l="0" t="0" r="0" b="0"/>
                  <wp:docPr id="1073741856" name="officeArt object" descr="Image"/>
                  <wp:cNvGraphicFramePr/>
                  <a:graphic xmlns:a="http://schemas.openxmlformats.org/drawingml/2006/main">
                    <a:graphicData uri="http://schemas.openxmlformats.org/drawingml/2006/picture">
                      <pic:pic xmlns:pic="http://schemas.openxmlformats.org/drawingml/2006/picture">
                        <pic:nvPicPr>
                          <pic:cNvPr id="1073741856" name="Image" descr="Image"/>
                          <pic:cNvPicPr>
                            <a:picLocks noChangeAspect="1"/>
                          </pic:cNvPicPr>
                        </pic:nvPicPr>
                        <pic:blipFill>
                          <a:blip r:embed="rId9">
                            <a:extLst/>
                          </a:blip>
                          <a:stretch>
                            <a:fillRect/>
                          </a:stretch>
                        </pic:blipFill>
                        <pic:spPr>
                          <a:xfrm>
                            <a:off x="0" y="0"/>
                            <a:ext cx="12700" cy="787400"/>
                          </a:xfrm>
                          <a:prstGeom prst="rect">
                            <a:avLst/>
                          </a:prstGeom>
                          <a:ln w="12700" cap="flat">
                            <a:noFill/>
                            <a:miter lim="400000"/>
                          </a:ln>
                          <a:effectLst/>
                        </pic:spPr>
                      </pic:pic>
                    </a:graphicData>
                  </a:graphic>
                </wp:inline>
              </w:drawing>
            </w:r>
          </w:p>
        </w:tc>
        <w:tc>
          <w:tcPr>
            <w:tcW w:type="dxa" w:w="44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Hard outer shell with thermoplastic filling material and elastic band</w:t>
            </w:r>
          </w:p>
        </w:tc>
        <w:tc>
          <w:tcPr>
            <w:tcW w:type="dxa" w:w="44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7"/>
                <w:szCs w:val="27"/>
                <w:rtl w:val="0"/>
              </w:rPr>
              <w:t>Hard outer shell with thermoplastic filling material and elastic band</w:t>
            </w:r>
          </w:p>
        </w:tc>
        <w:tc>
          <w:tcPr>
            <w:tcW w:type="dxa" w:w="2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tc>
        <w:tc>
          <w:tcPr>
            <w:tcW w:type="dxa" w:w="2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eeeee"/>
            <w:tcMar>
              <w:top w:type="dxa" w:w="20"/>
              <w:left w:type="dxa" w:w="20"/>
              <w:bottom w:type="dxa" w:w="20"/>
              <w:right w:type="dxa" w:w="20"/>
            </w:tcMar>
            <w:vAlign w:val="center"/>
          </w:tcPr>
          <w:p>
            <w:pPr>
              <w:pStyle w:val="Table Style 2"/>
              <w:bidi w:val="0"/>
              <w:ind w:left="0" w:right="0" w:firstLine="0"/>
              <w:jc w:val="left"/>
              <w:rPr>
                <w:rFonts w:ascii="Arial" w:cs="Arial" w:hAnsi="Arial" w:eastAsia="Arial"/>
                <w:sz w:val="37"/>
                <w:szCs w:val="37"/>
                <w:rtl w:val="0"/>
              </w:rPr>
            </w:pPr>
            <w:r>
              <w:rPr>
                <w:rFonts w:ascii="Times Roman" w:hAnsi="Times Roman"/>
                <w:sz w:val="27"/>
                <w:szCs w:val="27"/>
                <w:rtl w:val="0"/>
                <w:lang w:val="en-US"/>
              </w:rPr>
              <w:t>Thermoplastic Elastomer with Colorant</w:t>
            </w:r>
          </w:p>
          <w:p>
            <w:pPr>
              <w:pStyle w:val="Table Style 2"/>
              <w:bidi w:val="0"/>
              <w:ind w:left="0" w:right="0" w:firstLine="0"/>
              <w:jc w:val="left"/>
              <w:rPr>
                <w:rtl w:val="0"/>
              </w:rPr>
            </w:pPr>
            <w:r>
              <w:rPr>
                <w:rFonts w:ascii="Arial" w:cs="Arial" w:hAnsi="Arial" w:eastAsia="Arial"/>
                <w:sz w:val="37"/>
                <w:szCs w:val="37"/>
                <w:rtl w:val="0"/>
              </w:rPr>
              <w:drawing xmlns:a="http://schemas.openxmlformats.org/drawingml/2006/main">
                <wp:inline distT="0" distB="0" distL="0" distR="0">
                  <wp:extent cx="12700" cy="787400"/>
                  <wp:effectExtent l="0" t="0" r="0" b="0"/>
                  <wp:docPr id="1073741857" name="officeArt object" descr="Image"/>
                  <wp:cNvGraphicFramePr/>
                  <a:graphic xmlns:a="http://schemas.openxmlformats.org/drawingml/2006/main">
                    <a:graphicData uri="http://schemas.openxmlformats.org/drawingml/2006/picture">
                      <pic:pic xmlns:pic="http://schemas.openxmlformats.org/drawingml/2006/picture">
                        <pic:nvPicPr>
                          <pic:cNvPr id="1073741857" name="Image" descr="Image"/>
                          <pic:cNvPicPr>
                            <a:picLocks noChangeAspect="1"/>
                          </pic:cNvPicPr>
                        </pic:nvPicPr>
                        <pic:blipFill>
                          <a:blip r:embed="rId10">
                            <a:extLst/>
                          </a:blip>
                          <a:stretch>
                            <a:fillRect/>
                          </a:stretch>
                        </pic:blipFill>
                        <pic:spPr>
                          <a:xfrm>
                            <a:off x="0" y="0"/>
                            <a:ext cx="12700" cy="787400"/>
                          </a:xfrm>
                          <a:prstGeom prst="rect">
                            <a:avLst/>
                          </a:prstGeom>
                          <a:ln w="12700" cap="flat">
                            <a:noFill/>
                            <a:miter lim="400000"/>
                          </a:ln>
                          <a:effectLst/>
                        </pic:spPr>
                      </pic:pic>
                    </a:graphicData>
                  </a:graphic>
                </wp:inline>
              </w:drawing>
            </w:r>
          </w:p>
        </w:tc>
      </w:tr>
    </w:tbl>
    <w:p>
      <w:pPr>
        <w:pStyle w:val="Default"/>
        <w:bidi w:val="0"/>
        <w:ind w:left="0" w:right="0" w:firstLine="0"/>
        <w:jc w:val="left"/>
        <w:rPr>
          <w:rFonts w:ascii="Arial" w:cs="Arial" w:hAnsi="Arial" w:eastAsia="Arial"/>
          <w:b w:val="1"/>
          <w:bCs w:val="1"/>
          <w:sz w:val="37"/>
          <w:szCs w:val="37"/>
          <w:rtl w:val="0"/>
        </w:rPr>
      </w:pPr>
    </w:p>
    <w:p>
      <w:pPr>
        <w:pStyle w:val="Default"/>
        <w:bidi w:val="0"/>
        <w:ind w:left="0" w:right="0" w:firstLine="0"/>
        <w:jc w:val="left"/>
        <w:rPr>
          <w:rFonts w:ascii="Arial" w:cs="Arial" w:hAnsi="Arial" w:eastAsia="Arial"/>
          <w:b w:val="1"/>
          <w:bCs w:val="1"/>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rPr>
        <w:t xml:space="preserve">10.1 Technology </w:t>
      </w:r>
      <w:r>
        <w:rPr>
          <w:rFonts w:ascii="Times Roman" w:hAnsi="Times Roman" w:hint="default"/>
          <w:b w:val="1"/>
          <w:bCs w:val="1"/>
          <w:sz w:val="29"/>
          <w:szCs w:val="29"/>
          <w:rtl w:val="0"/>
        </w:rPr>
        <w:t xml:space="preserve">– </w:t>
      </w:r>
      <w:r>
        <w:rPr>
          <w:rFonts w:ascii="Times Roman" w:hAnsi="Times Roman"/>
          <w:b w:val="1"/>
          <w:bCs w:val="1"/>
          <w:sz w:val="29"/>
          <w:szCs w:val="29"/>
          <w:rtl w:val="0"/>
          <w:lang w:val="en-US"/>
        </w:rPr>
        <w:t>Mechanism of Action</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The subject device and prescription predicate device (K111680) are identical in mechanism of action</w:t>
      </w:r>
      <w:r>
        <w:rPr>
          <w:rFonts w:ascii="Times Roman" w:hAnsi="Times Roman"/>
          <w:sz w:val="29"/>
          <w:szCs w:val="29"/>
          <w:rtl w:val="0"/>
          <w:lang w:val="en-US"/>
        </w:rPr>
        <w:t xml:space="preserve"> with the exception of mild microcurrent signaling added into the BreatheStim device</w:t>
      </w:r>
      <w:r>
        <w:rPr>
          <w:rFonts w:ascii="Times Roman" w:hAnsi="Times Roman"/>
          <w:sz w:val="29"/>
          <w:szCs w:val="29"/>
          <w:rtl w:val="0"/>
          <w:lang w:val="en-US"/>
        </w:rPr>
        <w:t>. They both work by utilizing an intraoral mouthpiece to reposition the tongue in conjunction with a slight advancement of the mandible</w:t>
      </w:r>
      <w:r>
        <w:rPr>
          <w:rFonts w:ascii="Times Roman" w:hAnsi="Times Roman"/>
          <w:sz w:val="29"/>
          <w:szCs w:val="29"/>
          <w:rtl w:val="0"/>
          <w:lang w:val="en-US"/>
        </w:rPr>
        <w:t xml:space="preserve">.  The microcurrent signaling is designed to primarily reduce risk of relapse after the mechanical device is removed.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The mechanism of action for the other two OTC predicate devices, the SnoreRx and ZQuiet, is solely advancing the mandible. With any intraoral device that alters the mandible position, mandibular changes can lead to pain or discomfort in the temporomandibular joint (TMJ). The subject device has no new risks in regards to mandibular advancement.</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Utilizing the same mechanism of action as the prescription predicate the subject device raises no new concerns regarding effectiveness or safety as compared to predicate devices.</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rPr>
        <w:t xml:space="preserve">10.2 Technology </w:t>
      </w:r>
      <w:r>
        <w:rPr>
          <w:rFonts w:ascii="Times Roman" w:hAnsi="Times Roman" w:hint="default"/>
          <w:b w:val="1"/>
          <w:bCs w:val="1"/>
          <w:sz w:val="29"/>
          <w:szCs w:val="29"/>
          <w:rtl w:val="0"/>
        </w:rPr>
        <w:t xml:space="preserve">– </w:t>
      </w:r>
      <w:r>
        <w:rPr>
          <w:rFonts w:ascii="Times Roman" w:hAnsi="Times Roman"/>
          <w:b w:val="1"/>
          <w:bCs w:val="1"/>
          <w:sz w:val="29"/>
          <w:szCs w:val="29"/>
          <w:rtl w:val="0"/>
          <w:lang w:val="en-US"/>
        </w:rPr>
        <w:t>Indication for Use</w:t>
      </w: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 xml:space="preserve">The subject device uses language for the indication for use that is identical in substance to previously- approved OTC devices for the reduction of snoring. The subject device is </w:t>
      </w:r>
      <w:r>
        <w:rPr>
          <w:rFonts w:ascii="Times Roman" w:hAnsi="Times Roman" w:hint="default"/>
          <w:sz w:val="29"/>
          <w:szCs w:val="29"/>
          <w:rtl w:val="1"/>
          <w:lang w:val="ar-SA" w:bidi="ar-SA"/>
        </w:rPr>
        <w:t>“</w:t>
      </w:r>
      <w:r>
        <w:rPr>
          <w:rFonts w:ascii="Times Roman" w:hAnsi="Times Roman"/>
          <w:sz w:val="29"/>
          <w:szCs w:val="29"/>
          <w:rtl w:val="0"/>
          <w:lang w:val="en-US"/>
        </w:rPr>
        <w:t>intended for use by adult patients (18 years or older) as an aid to reduce snoring.</w:t>
      </w:r>
      <w:r>
        <w:rPr>
          <w:rFonts w:ascii="Times Roman" w:hAnsi="Times Roman" w:hint="default"/>
          <w:sz w:val="29"/>
          <w:szCs w:val="29"/>
          <w:rtl w:val="0"/>
        </w:rPr>
        <w:t>”</w:t>
      </w: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 xml:space="preserve">This is almost identical to the indications for use for the two OTC predicate devices, the SnoreRx and ZQuiet, whose indications for use are </w:t>
      </w:r>
      <w:r>
        <w:rPr>
          <w:rFonts w:ascii="Times Roman" w:hAnsi="Times Roman" w:hint="default"/>
          <w:sz w:val="29"/>
          <w:szCs w:val="29"/>
          <w:rtl w:val="1"/>
          <w:lang w:val="ar-SA" w:bidi="ar-SA"/>
        </w:rPr>
        <w:t>“</w:t>
      </w:r>
      <w:r>
        <w:rPr>
          <w:rFonts w:ascii="Times Roman" w:hAnsi="Times Roman"/>
          <w:sz w:val="29"/>
          <w:szCs w:val="29"/>
          <w:rtl w:val="0"/>
          <w:lang w:val="en-US"/>
        </w:rPr>
        <w:t>SnoreRx is intended for use on adult patients 18 years of age or older as an aid for the reduction of snoring</w:t>
      </w:r>
      <w:r>
        <w:rPr>
          <w:rFonts w:ascii="Times Roman" w:hAnsi="Times Roman" w:hint="default"/>
          <w:sz w:val="29"/>
          <w:szCs w:val="29"/>
          <w:rtl w:val="0"/>
        </w:rPr>
        <w:t xml:space="preserve">” </w:t>
      </w:r>
      <w:r>
        <w:rPr>
          <w:rFonts w:ascii="Times Roman" w:hAnsi="Times Roman"/>
          <w:sz w:val="29"/>
          <w:szCs w:val="29"/>
          <w:rtl w:val="0"/>
          <w:lang w:val="en-US"/>
        </w:rPr>
        <w:t xml:space="preserve">and </w:t>
      </w:r>
      <w:r>
        <w:rPr>
          <w:rFonts w:ascii="Times Roman" w:hAnsi="Times Roman" w:hint="default"/>
          <w:sz w:val="29"/>
          <w:szCs w:val="29"/>
          <w:rtl w:val="1"/>
          <w:lang w:val="ar-SA" w:bidi="ar-SA"/>
        </w:rPr>
        <w:t>“</w:t>
      </w:r>
      <w:r>
        <w:rPr>
          <w:rFonts w:ascii="Times Roman" w:hAnsi="Times Roman"/>
          <w:sz w:val="29"/>
          <w:szCs w:val="29"/>
          <w:rtl w:val="0"/>
          <w:lang w:val="en-US"/>
        </w:rPr>
        <w:t>ZQuiet is intended as an aid in the reduction of snoring for adults at least 18 years old,</w:t>
      </w:r>
      <w:r>
        <w:rPr>
          <w:rFonts w:ascii="Times Roman" w:hAnsi="Times Roman" w:hint="default"/>
          <w:sz w:val="29"/>
          <w:szCs w:val="29"/>
          <w:rtl w:val="0"/>
        </w:rPr>
        <w:t xml:space="preserve">” </w:t>
      </w:r>
      <w:r>
        <w:rPr>
          <w:rFonts w:ascii="Times Roman" w:hAnsi="Times Roman"/>
          <w:sz w:val="29"/>
          <w:szCs w:val="29"/>
          <w:rtl w:val="0"/>
          <w:lang w:val="en-US"/>
        </w:rPr>
        <w:t>respectively.</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As the indications for use are identical, there is no new concerns regarding effectiveness or safety as compared to predicate devices.</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lang w:val="en-US"/>
        </w:rPr>
        <w:t>10.4 Technology - Prescription Status</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The subject device is intended to be sold over-the-counter. Product labeling has therefore eliminated prescribing information. Two of the predicate devices, SnoreRx and ZQuiet, have clearance for over-the- counter use.</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Warnings and contraindications are substantially equivalent to those of over-the-counter predicate devices. The labeling specifically states that the device does not treat obstructive sleep apnea, and includes</w:t>
      </w:r>
      <w:r>
        <w:rPr>
          <w:rFonts w:ascii="Times Roman" w:hAnsi="Times Roman"/>
          <w:sz w:val="29"/>
          <w:szCs w:val="29"/>
          <w:rtl w:val="0"/>
          <w:lang w:val="en-US"/>
        </w:rPr>
        <w:t xml:space="preserve"> a</w:t>
      </w:r>
      <w:r>
        <w:rPr>
          <w:rFonts w:ascii="Times Roman" w:hAnsi="Times Roman"/>
          <w:sz w:val="29"/>
          <w:szCs w:val="29"/>
          <w:rtl w:val="0"/>
        </w:rPr>
        <w:t xml:space="preserve"> </w:t>
      </w:r>
      <w:r>
        <w:rPr>
          <w:rFonts w:ascii="Times Roman" w:hAnsi="Times Roman"/>
          <w:sz w:val="29"/>
          <w:szCs w:val="29"/>
          <w:rtl w:val="0"/>
          <w:lang w:val="en-US"/>
        </w:rPr>
        <w:t xml:space="preserve"> </w:t>
      </w:r>
      <w:r>
        <w:rPr>
          <w:rFonts w:ascii="Times Roman" w:hAnsi="Times Roman"/>
          <w:sz w:val="29"/>
          <w:szCs w:val="29"/>
          <w:rtl w:val="0"/>
          <w:lang w:val="en-US"/>
        </w:rPr>
        <w:t xml:space="preserve"> validated questionnaire is included in the labeling to help mitigate the risk of undiagnosed OSA among potential</w:t>
      </w:r>
      <w:r>
        <w:rPr>
          <w:rFonts w:ascii="Times Roman" w:hAnsi="Times Roman"/>
          <w:sz w:val="29"/>
          <w:szCs w:val="29"/>
          <w:rtl w:val="0"/>
          <w:lang w:val="en-US"/>
        </w:rPr>
        <w:t xml:space="preserve"> BreatheStim</w:t>
      </w:r>
      <w:r>
        <w:rPr>
          <w:rFonts w:ascii="Times Roman" w:hAnsi="Times Roman"/>
          <w:sz w:val="29"/>
          <w:szCs w:val="29"/>
          <w:rtl w:val="0"/>
          <w:lang w:val="en-US"/>
        </w:rPr>
        <w:t xml:space="preserve"> patients.</w:t>
      </w: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 xml:space="preserve"> </w:t>
      </w:r>
    </w:p>
    <w:p>
      <w:pPr>
        <w:pStyle w:val="Default"/>
        <w:bidi w:val="0"/>
        <w:ind w:left="0" w:right="0" w:firstLine="0"/>
        <w:jc w:val="left"/>
        <w:rPr>
          <w:rFonts w:ascii="Arial" w:cs="Arial" w:hAnsi="Arial" w:eastAsia="Arial"/>
          <w:sz w:val="37"/>
          <w:szCs w:val="37"/>
          <w:rtl w:val="0"/>
        </w:rPr>
      </w:pPr>
      <w:r>
        <w:rPr>
          <w:rFonts w:ascii="Times Roman" w:hAnsi="Times Roman"/>
          <w:sz w:val="32"/>
          <w:szCs w:val="32"/>
          <w:rtl w:val="0"/>
          <w:lang w:val="en-US"/>
        </w:rPr>
        <w:t>The similar predicate prescription device (Dr. Greenburg</w:t>
      </w:r>
      <w:r>
        <w:rPr>
          <w:rFonts w:ascii="Times Roman" w:hAnsi="Times Roman" w:hint="default"/>
          <w:sz w:val="32"/>
          <w:szCs w:val="32"/>
          <w:rtl w:val="1"/>
        </w:rPr>
        <w:t>’</w:t>
      </w:r>
      <w:r>
        <w:rPr>
          <w:rFonts w:ascii="Times Roman" w:hAnsi="Times Roman"/>
          <w:sz w:val="32"/>
          <w:szCs w:val="32"/>
          <w:rtl w:val="0"/>
          <w:lang w:val="en-US"/>
        </w:rPr>
        <w:t xml:space="preserve">s Hybrid, K111680) has been on the market for more than </w:t>
      </w:r>
      <w:r>
        <w:rPr>
          <w:rFonts w:ascii="Times Roman" w:hAnsi="Times Roman"/>
          <w:sz w:val="32"/>
          <w:szCs w:val="32"/>
          <w:rtl w:val="0"/>
          <w:lang w:val="en-US"/>
        </w:rPr>
        <w:t>ten</w:t>
      </w:r>
      <w:r>
        <w:rPr>
          <w:rFonts w:ascii="Times Roman" w:hAnsi="Times Roman"/>
          <w:sz w:val="32"/>
          <w:szCs w:val="32"/>
          <w:rtl w:val="0"/>
          <w:lang w:val="en-US"/>
        </w:rPr>
        <w:t xml:space="preserve"> years. Due to its postmarket record of substantially equivalent performance to other devices of this type and substantially equivalent labeling and instructions for use to that of the over-the-counter predicate devices, there are no new concerns regarding effectiveness or safety as compared to predicate devices.</w:t>
      </w:r>
    </w:p>
    <w:p>
      <w:pPr>
        <w:pStyle w:val="Default"/>
        <w:bidi w:val="0"/>
        <w:ind w:left="0" w:right="0" w:firstLine="0"/>
        <w:jc w:val="left"/>
        <w:rPr>
          <w:rFonts w:ascii="Arial" w:cs="Arial" w:hAnsi="Arial" w:eastAsia="Arial"/>
          <w:b w:val="1"/>
          <w:bCs w:val="1"/>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lang w:val="en-US"/>
        </w:rPr>
        <w:t>10.5 Technology - Materials</w:t>
      </w: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To support this application, the sponsor has included Biocompatibility testing results demonstrating the subject device is biocompatible under ISO 10993, including cytotoxicity, sensitization, and irritation testing. The device was shown to meet the requirements of the ISO 10993 guidelines for each of these tests. Other biocompatibility tests recommended for permanent mucosal contact were not conducted because all materials used in the device are certified USP Class VI and used in many other currently marketed medical devices.</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Because the same materials and manufacturing processes are used as the currently marketed predicate device, there are no new concerns regarding effectiveness or safety as compared to the predicate device.</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lang w:val="it-IT"/>
        </w:rPr>
        <w:t>11. Non-Clinical Testing</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xml:space="preserve">The proposed </w:t>
      </w:r>
      <w:r>
        <w:rPr>
          <w:rFonts w:ascii="Times Roman" w:hAnsi="Times Roman"/>
          <w:sz w:val="29"/>
          <w:szCs w:val="29"/>
          <w:rtl w:val="0"/>
          <w:lang w:val="en-US"/>
        </w:rPr>
        <w:t xml:space="preserve">BreatheStim </w:t>
      </w:r>
      <w:r>
        <w:rPr>
          <w:rFonts w:ascii="Times Roman" w:hAnsi="Times Roman"/>
          <w:sz w:val="29"/>
          <w:szCs w:val="29"/>
          <w:rtl w:val="0"/>
          <w:lang w:val="en-US"/>
        </w:rPr>
        <w:t xml:space="preserve">OTC device was compared to </w:t>
      </w:r>
      <w:r>
        <w:rPr>
          <w:rFonts w:ascii="Times Roman" w:hAnsi="Times Roman"/>
          <w:sz w:val="29"/>
          <w:szCs w:val="29"/>
          <w:rtl w:val="0"/>
          <w:lang w:val="en-US"/>
        </w:rPr>
        <w:t xml:space="preserve">across all </w:t>
      </w:r>
      <w:r>
        <w:rPr>
          <w:rFonts w:ascii="Times Roman" w:hAnsi="Times Roman"/>
          <w:sz w:val="29"/>
          <w:szCs w:val="29"/>
          <w:rtl w:val="0"/>
          <w:lang w:val="en-US"/>
        </w:rPr>
        <w:t>design</w:t>
      </w:r>
      <w:r>
        <w:rPr>
          <w:rFonts w:ascii="Times Roman" w:hAnsi="Times Roman"/>
          <w:sz w:val="29"/>
          <w:szCs w:val="29"/>
          <w:rtl w:val="0"/>
          <w:lang w:val="en-US"/>
        </w:rPr>
        <w:t xml:space="preserve"> and performance charactersics</w:t>
      </w:r>
      <w:r>
        <w:rPr>
          <w:rFonts w:ascii="Times Roman" w:hAnsi="Times Roman"/>
          <w:sz w:val="29"/>
          <w:szCs w:val="29"/>
          <w:rtl w:val="0"/>
          <w:lang w:val="en-US"/>
        </w:rPr>
        <w:t xml:space="preserve"> of the cleared predicate in bench testing. It was found </w:t>
      </w:r>
      <w:r>
        <w:rPr>
          <w:rFonts w:ascii="Times Roman" w:hAnsi="Times Roman"/>
          <w:sz w:val="29"/>
          <w:szCs w:val="29"/>
          <w:rtl w:val="0"/>
          <w:lang w:val="en-US"/>
        </w:rPr>
        <w:t xml:space="preserve">in this testing to be substantially equivalent </w:t>
      </w:r>
      <w:r>
        <w:rPr>
          <w:rFonts w:ascii="Times Roman" w:hAnsi="Times Roman"/>
          <w:sz w:val="29"/>
          <w:szCs w:val="29"/>
          <w:rtl w:val="0"/>
          <w:lang w:val="it-IT"/>
        </w:rPr>
        <w:t>predicate device.</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xml:space="preserve">The sponsor conducted a risk analysis on the device in accordance with ISO 14971:2007, taking into account the issues raised in the FDA Guidance Document </w:t>
      </w:r>
      <w:r>
        <w:rPr>
          <w:rFonts w:ascii="Times Roman" w:hAnsi="Times Roman" w:hint="default"/>
          <w:sz w:val="29"/>
          <w:szCs w:val="29"/>
          <w:rtl w:val="1"/>
          <w:lang w:val="ar-SA" w:bidi="ar-SA"/>
        </w:rPr>
        <w:t>“</w:t>
      </w:r>
      <w:r>
        <w:rPr>
          <w:rFonts w:ascii="Times Roman" w:hAnsi="Times Roman"/>
          <w:sz w:val="29"/>
          <w:szCs w:val="29"/>
          <w:rtl w:val="0"/>
          <w:lang w:val="en-US"/>
        </w:rPr>
        <w:t xml:space="preserve">Class II Special Controls Guidance Document: Intraoral Devices for Snoring and/or Obstructive Sleep Apnea </w:t>
      </w:r>
      <w:r>
        <w:rPr>
          <w:rFonts w:ascii="Times Roman" w:hAnsi="Times Roman" w:hint="default"/>
          <w:sz w:val="29"/>
          <w:szCs w:val="29"/>
          <w:rtl w:val="0"/>
        </w:rPr>
        <w:t xml:space="preserve">– </w:t>
      </w:r>
      <w:r>
        <w:rPr>
          <w:rFonts w:ascii="Times Roman" w:hAnsi="Times Roman"/>
          <w:sz w:val="29"/>
          <w:szCs w:val="29"/>
          <w:rtl w:val="0"/>
          <w:lang w:val="en-US"/>
        </w:rPr>
        <w:t>Guidance for Industry and FDA.</w:t>
      </w:r>
      <w:r>
        <w:rPr>
          <w:rFonts w:ascii="Times Roman" w:hAnsi="Times Roman" w:hint="default"/>
          <w:sz w:val="29"/>
          <w:szCs w:val="29"/>
          <w:rtl w:val="0"/>
        </w:rPr>
        <w:t xml:space="preserve">” </w:t>
      </w:r>
      <w:r>
        <w:rPr>
          <w:rFonts w:ascii="Times Roman" w:hAnsi="Times Roman"/>
          <w:sz w:val="29"/>
          <w:szCs w:val="29"/>
          <w:rtl w:val="0"/>
          <w:lang w:val="en-US"/>
        </w:rPr>
        <w:t>All identified risks have been addressed through device design or with communication with the user through the instructions for use.</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xml:space="preserve">See Addendum A for a summary of non-clinical testing and our full risk analysis table.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lang w:val="it-IT"/>
        </w:rPr>
        <w:t>12. Biocompatibility</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The materials and manufacturing process are similar to the currently marketed materials in the prescription predicate device.</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sz w:val="37"/>
          <w:szCs w:val="37"/>
          <w:rtl w:val="0"/>
        </w:rPr>
      </w:pPr>
      <w:r>
        <w:rPr>
          <w:rFonts w:ascii="Times Roman" w:hAnsi="Times Roman"/>
          <w:sz w:val="29"/>
          <w:szCs w:val="29"/>
          <w:rtl w:val="0"/>
          <w:lang w:val="en-US"/>
        </w:rPr>
        <w:t>Testing results that have been included include cytotoxicity (ISO 10993-5), sensitization (ISO 10993-10) and irritation (ISO 10993-10). As all materials used in the device are certified USP Class VI and used in many other currently marketed medical devices, no additional biocompatibility testing was conducted.</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Class VI certification is less stringent than 10993</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Times Roman" w:cs="Times Roman" w:hAnsi="Times Roman" w:eastAsia="Times Roman"/>
          <w:b w:val="1"/>
          <w:bCs w:val="1"/>
          <w:sz w:val="29"/>
          <w:szCs w:val="29"/>
          <w:rtl w:val="0"/>
        </w:rPr>
      </w:pPr>
      <w:r>
        <w:rPr>
          <w:rFonts w:ascii="Times Roman" w:hAnsi="Times Roman"/>
          <w:b w:val="1"/>
          <w:bCs w:val="1"/>
          <w:sz w:val="29"/>
          <w:szCs w:val="29"/>
          <w:rtl w:val="0"/>
          <w:lang w:val="en-US"/>
        </w:rPr>
        <w:t xml:space="preserve">13.  Stimulator Testing </w:t>
      </w:r>
    </w:p>
    <w:p>
      <w:pPr>
        <w:pStyle w:val="Default"/>
        <w:bidi w:val="0"/>
        <w:ind w:left="0" w:right="0" w:firstLine="0"/>
        <w:jc w:val="left"/>
        <w:rPr>
          <w:rFonts w:ascii="Times Roman" w:cs="Times Roman" w:hAnsi="Times Roman" w:eastAsia="Times Roman"/>
          <w:b w:val="1"/>
          <w:bCs w:val="1"/>
          <w:sz w:val="29"/>
          <w:szCs w:val="29"/>
          <w:rtl w:val="0"/>
        </w:rPr>
      </w:pPr>
    </w:p>
    <w:p>
      <w:pPr>
        <w:pStyle w:val="Default"/>
        <w:bidi w:val="0"/>
        <w:ind w:left="0" w:right="0" w:firstLine="0"/>
        <w:jc w:val="left"/>
        <w:rPr>
          <w:rFonts w:ascii="Times Roman" w:cs="Times Roman" w:hAnsi="Times Roman" w:eastAsia="Times Roman"/>
          <w:b w:val="1"/>
          <w:bCs w:val="1"/>
          <w:sz w:val="29"/>
          <w:szCs w:val="29"/>
          <w:rtl w:val="0"/>
        </w:rPr>
      </w:pPr>
      <w:r>
        <w:rPr>
          <w:rFonts w:ascii="Times Roman" w:hAnsi="Times Roman"/>
          <w:b w:val="1"/>
          <w:bCs w:val="1"/>
          <w:sz w:val="29"/>
          <w:szCs w:val="29"/>
          <w:rtl w:val="0"/>
          <w:lang w:val="en-US"/>
        </w:rPr>
        <w:t xml:space="preserve">The Mettler Electronics of Anaheim, California stimulator used by BreatheStim has FDA 510 K11017 June 26th, 2012 market clearance for improving circulation, muscle re-education, reduction of muscle atrophy and mild pain relief all applicable to this application of use. </w:t>
      </w:r>
    </w:p>
    <w:p>
      <w:pPr>
        <w:pStyle w:val="Default"/>
        <w:bidi w:val="0"/>
        <w:ind w:left="0" w:right="0" w:firstLine="0"/>
        <w:jc w:val="left"/>
        <w:rPr>
          <w:rFonts w:ascii="Times Roman" w:cs="Times Roman" w:hAnsi="Times Roman" w:eastAsia="Times Roman"/>
          <w:b w:val="1"/>
          <w:bCs w:val="1"/>
          <w:sz w:val="29"/>
          <w:szCs w:val="29"/>
          <w:rtl w:val="0"/>
        </w:rPr>
      </w:pPr>
    </w:p>
    <w:p>
      <w:pPr>
        <w:pStyle w:val="Default"/>
        <w:bidi w:val="0"/>
        <w:ind w:left="0" w:right="0" w:firstLine="0"/>
        <w:jc w:val="left"/>
        <w:rPr>
          <w:rFonts w:ascii="Times Roman" w:cs="Times Roman" w:hAnsi="Times Roman" w:eastAsia="Times Roman"/>
          <w:b w:val="1"/>
          <w:bCs w:val="1"/>
          <w:sz w:val="29"/>
          <w:szCs w:val="29"/>
          <w:rtl w:val="0"/>
        </w:rPr>
      </w:pPr>
      <w:r>
        <w:rPr>
          <w:rFonts w:ascii="Times Roman" w:hAnsi="Times Roman"/>
          <w:b w:val="1"/>
          <w:bCs w:val="1"/>
          <w:sz w:val="29"/>
          <w:szCs w:val="29"/>
          <w:rtl w:val="0"/>
          <w:lang w:val="en-US"/>
        </w:rPr>
        <w:t xml:space="preserve">Full Spec Sheet &gt; </w:t>
      </w:r>
      <w:r>
        <w:rPr>
          <w:rStyle w:val="Hyperlink.0"/>
          <w:rFonts w:ascii="Times Roman" w:cs="Times Roman" w:hAnsi="Times Roman" w:eastAsia="Times Roman"/>
          <w:b w:val="1"/>
          <w:bCs w:val="1"/>
          <w:sz w:val="29"/>
          <w:szCs w:val="29"/>
          <w:rtl w:val="0"/>
        </w:rPr>
        <w:fldChar w:fldCharType="begin" w:fldLock="0"/>
      </w:r>
      <w:r>
        <w:rPr>
          <w:rStyle w:val="Hyperlink.0"/>
          <w:rFonts w:ascii="Times Roman" w:cs="Times Roman" w:hAnsi="Times Roman" w:eastAsia="Times Roman"/>
          <w:b w:val="1"/>
          <w:bCs w:val="1"/>
          <w:sz w:val="29"/>
          <w:szCs w:val="29"/>
          <w:rtl w:val="0"/>
        </w:rPr>
        <w:instrText xml:space="preserve"> HYPERLINK "https://www.mettlerelectronics.com/images/products/neuromusc_stim/240_specifications.pdf"</w:instrText>
      </w:r>
      <w:r>
        <w:rPr>
          <w:rStyle w:val="Hyperlink.0"/>
          <w:rFonts w:ascii="Times Roman" w:cs="Times Roman" w:hAnsi="Times Roman" w:eastAsia="Times Roman"/>
          <w:b w:val="1"/>
          <w:bCs w:val="1"/>
          <w:sz w:val="29"/>
          <w:szCs w:val="29"/>
          <w:rtl w:val="0"/>
        </w:rPr>
        <w:fldChar w:fldCharType="separate" w:fldLock="0"/>
      </w:r>
      <w:r>
        <w:rPr>
          <w:rStyle w:val="Hyperlink.0"/>
          <w:rFonts w:ascii="Times Roman" w:hAnsi="Times Roman"/>
          <w:b w:val="1"/>
          <w:bCs w:val="1"/>
          <w:sz w:val="29"/>
          <w:szCs w:val="29"/>
          <w:rtl w:val="0"/>
          <w:lang w:val="en-US"/>
        </w:rPr>
        <w:t>https://www.mettlerelectronics.com/images/products/neuromusc_stim/240_specifications.pdf</w:t>
      </w:r>
      <w:r>
        <w:rPr>
          <w:rFonts w:ascii="Times Roman" w:cs="Times Roman" w:hAnsi="Times Roman" w:eastAsia="Times Roman"/>
          <w:b w:val="1"/>
          <w:bCs w:val="1"/>
          <w:sz w:val="29"/>
          <w:szCs w:val="29"/>
          <w:rtl w:val="0"/>
        </w:rPr>
        <w:fldChar w:fldCharType="end" w:fldLock="0"/>
      </w:r>
    </w:p>
    <w:p>
      <w:pPr>
        <w:pStyle w:val="Default"/>
        <w:bidi w:val="0"/>
        <w:ind w:left="0" w:right="0" w:firstLine="0"/>
        <w:jc w:val="left"/>
        <w:rPr>
          <w:rFonts w:ascii="Times Roman" w:cs="Times Roman" w:hAnsi="Times Roman" w:eastAsia="Times Roman"/>
          <w:b w:val="1"/>
          <w:bCs w:val="1"/>
          <w:sz w:val="29"/>
          <w:szCs w:val="29"/>
          <w:rtl w:val="0"/>
        </w:rPr>
      </w:pPr>
    </w:p>
    <w:p>
      <w:pPr>
        <w:pStyle w:val="Default"/>
        <w:bidi w:val="0"/>
        <w:ind w:left="0" w:right="0" w:firstLine="0"/>
        <w:jc w:val="left"/>
        <w:rPr>
          <w:rFonts w:ascii="Times Roman" w:cs="Times Roman" w:hAnsi="Times Roman" w:eastAsia="Times Roman"/>
          <w:b w:val="1"/>
          <w:bCs w:val="1"/>
          <w:sz w:val="29"/>
          <w:szCs w:val="29"/>
          <w:rtl w:val="0"/>
        </w:rPr>
      </w:pPr>
      <w:r>
        <w:rPr>
          <w:rFonts w:ascii="Times Roman" w:hAnsi="Times Roman"/>
          <w:b w:val="1"/>
          <w:bCs w:val="1"/>
          <w:sz w:val="29"/>
          <w:szCs w:val="29"/>
          <w:rtl w:val="0"/>
          <w:lang w:val="en-US"/>
        </w:rPr>
        <w:t xml:space="preserve">Mettler 240 Instruction Manual &gt; </w:t>
      </w:r>
      <w:r>
        <w:rPr>
          <w:rFonts w:ascii="Times Roman" w:hAnsi="Times Roman"/>
          <w:b w:val="1"/>
          <w:bCs w:val="1"/>
          <w:sz w:val="29"/>
          <w:szCs w:val="29"/>
          <w:rtl w:val="0"/>
          <w:lang w:val="en-US"/>
        </w:rPr>
        <w:t>https://mettlerelectronics.com/wp-content/uploads/240man.pdf</w:t>
      </w:r>
    </w:p>
    <w:p>
      <w:pPr>
        <w:pStyle w:val="Default"/>
        <w:bidi w:val="0"/>
        <w:ind w:left="0" w:right="0" w:firstLine="0"/>
        <w:jc w:val="left"/>
        <w:rPr>
          <w:rFonts w:ascii="Times Roman" w:cs="Times Roman" w:hAnsi="Times Roman" w:eastAsia="Times Roman"/>
          <w:b w:val="1"/>
          <w:bCs w:val="1"/>
          <w:sz w:val="29"/>
          <w:szCs w:val="29"/>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Performance Testing: The Sys*Stim 240 has been certified for:</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ITS certification for ETL and C-ETL Listing</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Compliance with EMC, EN 60601-1 -2: 2001 and FCC's 47 CFR,</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de-DE"/>
        </w:rPr>
        <w:t>FCC Sub Part 18</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Compliance to IEC 60601-2-22: 2007</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Compliance to IEC 60825-1: 2007</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 Compliance to IEC 62471: 2006</w:t>
      </w:r>
    </w:p>
    <w:p>
      <w:pPr>
        <w:pStyle w:val="Default"/>
        <w:numPr>
          <w:ilvl w:val="0"/>
          <w:numId w:val="2"/>
        </w:numPr>
        <w:bidi w:val="0"/>
        <w:ind w:right="0"/>
        <w:jc w:val="left"/>
        <w:rPr>
          <w:rFonts w:ascii="Times Roman" w:hAnsi="Times Roman"/>
          <w:sz w:val="29"/>
          <w:szCs w:val="29"/>
          <w:rtl w:val="0"/>
          <w:lang w:val="en-US"/>
        </w:rPr>
      </w:pPr>
      <w:r>
        <w:rPr>
          <w:rFonts w:ascii="Times Roman" w:hAnsi="Times Roman"/>
          <w:sz w:val="29"/>
          <w:szCs w:val="29"/>
          <w:rtl w:val="0"/>
          <w:lang w:val="en-US"/>
        </w:rPr>
        <w:t>Compliance to EN60601-2-10, (IEC 601-2-1 0) 2001</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b w:val="1"/>
          <w:bCs w:val="1"/>
          <w:sz w:val="29"/>
          <w:szCs w:val="29"/>
          <w:u w:val="single"/>
          <w:rtl w:val="0"/>
          <w:lang w:val="en-US"/>
        </w:rPr>
        <w:t>The Sys*Stim 240 has an optional battery pack</w:t>
      </w:r>
      <w:r>
        <w:rPr>
          <w:rFonts w:ascii="Times Roman" w:hAnsi="Times Roman"/>
          <w:sz w:val="29"/>
          <w:szCs w:val="29"/>
          <w:rtl w:val="0"/>
          <w:lang w:val="en-US"/>
        </w:rPr>
        <w:t xml:space="preserve"> so that you can take either electrical stimulation or light therapy to patient. A carrying case is also available which holds the units and all the accessories necessary for therapy on the road.</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The Sys*Stim 240 has been certified by Intertek Testing Services to meet the requirements for ETL Listing per the following standards:</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UL 60601-1 Standard for Safety Medical Electrical Equipment, Part 1: General Requirements for Safety.</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 xml:space="preserve">CSA C22.2.601.1 M90 Medical Electrical Equipment </w:t>
      </w:r>
      <w:r>
        <w:rPr>
          <w:rFonts w:ascii="Times Roman" w:hAnsi="Times Roman" w:hint="default"/>
          <w:sz w:val="29"/>
          <w:szCs w:val="29"/>
          <w:rtl w:val="0"/>
        </w:rPr>
        <w:t xml:space="preserve">– </w:t>
      </w:r>
      <w:r>
        <w:rPr>
          <w:rFonts w:ascii="Times Roman" w:hAnsi="Times Roman"/>
          <w:sz w:val="29"/>
          <w:szCs w:val="29"/>
          <w:rtl w:val="0"/>
          <w:lang w:val="en-US"/>
        </w:rPr>
        <w:t>Part 1 General Requirements for Safety</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IEC / EN 60601-1 Standard for Safety Medical Electrical Equipment, Part 1: General Requirements for Safety</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IEC / EN 60601-2-10 Medical Electrical Equipment Part 2: Particular Requirements for the Safety of Nerve and Muscle Stimulators</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rPr>
        <w:t xml:space="preserve">   5</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de-DE"/>
        </w:rPr>
        <w:t xml:space="preserve">Mettler Electronics Corp. </w:t>
      </w:r>
      <w:r>
        <w:rPr>
          <w:rFonts w:ascii="Times Roman" w:hAnsi="Times Roman" w:hint="default"/>
          <w:sz w:val="29"/>
          <w:szCs w:val="29"/>
          <w:rtl w:val="0"/>
          <w:lang w:val="en-US"/>
        </w:rPr>
        <w:t xml:space="preserve">— </w:t>
      </w:r>
      <w:r>
        <w:rPr>
          <w:rFonts w:ascii="Times Roman" w:hAnsi="Times Roman"/>
          <w:sz w:val="29"/>
          <w:szCs w:val="29"/>
          <w:rtl w:val="0"/>
          <w:lang w:val="en-US"/>
        </w:rPr>
        <w:t>Rev.I_09/23/19</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 xml:space="preserve">IEC / EN 60601-2-22 Medical Electrical Equipment </w:t>
      </w:r>
      <w:r>
        <w:rPr>
          <w:rFonts w:ascii="Times Roman" w:hAnsi="Times Roman" w:hint="default"/>
          <w:sz w:val="29"/>
          <w:szCs w:val="29"/>
          <w:rtl w:val="0"/>
        </w:rPr>
        <w:t xml:space="preserve">– </w:t>
      </w:r>
      <w:r>
        <w:rPr>
          <w:rFonts w:ascii="Times Roman" w:hAnsi="Times Roman"/>
          <w:sz w:val="29"/>
          <w:szCs w:val="29"/>
          <w:rtl w:val="0"/>
          <w:lang w:val="en-US"/>
        </w:rPr>
        <w:t>Part 2-22: Particular Requirements for Safety and Essential Performance of Surgical, Cosmetic, Therapeutic and Diagnostic Laser Equipment</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IEC / EN 60825-1 Safety of Laser Products Part 1: Equipment Classification and Requirement</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IEC / EN 62471 Photobiological Safety of Lamps and Lamp Systems</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In addition, the Sys*Stim 240 also meets the following standards for radio frequency emissions and immunity:</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IEC / EN 60601-1-2 Medical Electrical Equipment</w:t>
      </w:r>
      <w:r>
        <w:rPr>
          <w:rFonts w:ascii="Times Roman" w:hAnsi="Times Roman" w:hint="default"/>
          <w:sz w:val="29"/>
          <w:szCs w:val="29"/>
          <w:rtl w:val="0"/>
          <w:lang w:val="en-US"/>
        </w:rPr>
        <w:t>—</w:t>
      </w:r>
      <w:r>
        <w:rPr>
          <w:rFonts w:ascii="Times Roman" w:hAnsi="Times Roman"/>
          <w:sz w:val="29"/>
          <w:szCs w:val="29"/>
          <w:rtl w:val="0"/>
          <w:lang w:val="en-US"/>
        </w:rPr>
        <w:t>Part 1-2: General Requirements for safety</w:t>
      </w:r>
      <w:r>
        <w:rPr>
          <w:rFonts w:ascii="Times Roman" w:hAnsi="Times Roman" w:hint="default"/>
          <w:sz w:val="29"/>
          <w:szCs w:val="29"/>
          <w:rtl w:val="0"/>
          <w:lang w:val="en-US"/>
        </w:rPr>
        <w:t>—</w:t>
      </w:r>
      <w:r>
        <w:rPr>
          <w:rFonts w:ascii="Times Roman" w:hAnsi="Times Roman"/>
          <w:sz w:val="29"/>
          <w:szCs w:val="29"/>
          <w:rtl w:val="0"/>
          <w:lang w:val="en-US"/>
        </w:rPr>
        <w:t>Collateral Standard Electromagnetic Compatibility Requirements and Test</w:t>
      </w:r>
    </w:p>
    <w:p>
      <w:pPr>
        <w:pStyle w:val="Default"/>
        <w:bidi w:val="0"/>
        <w:ind w:left="0" w:right="0" w:firstLine="0"/>
        <w:jc w:val="left"/>
        <w:rPr>
          <w:rFonts w:ascii="Times Roman" w:cs="Times Roman" w:hAnsi="Times Roman" w:eastAsia="Times Roman"/>
          <w:sz w:val="29"/>
          <w:szCs w:val="29"/>
          <w:rtl w:val="0"/>
        </w:rPr>
      </w:pPr>
      <w:r>
        <w:rPr>
          <w:rFonts w:ascii="Arial Unicode MS" w:cs="Arial Unicode MS" w:hAnsi="Arial Unicode MS" w:eastAsia="Arial Unicode MS" w:hint="default"/>
          <w:b w:val="0"/>
          <w:bCs w:val="0"/>
          <w:i w:val="0"/>
          <w:iCs w:val="0"/>
          <w:sz w:val="29"/>
          <w:szCs w:val="29"/>
          <w:rtl w:val="0"/>
        </w:rPr>
        <w:sym w:font="Arial Unicode MS" w:char="F0B7"/>
      </w:r>
      <w:r>
        <w:rPr>
          <w:rFonts w:ascii="Times Roman" w:hAnsi="Times Roman"/>
          <w:sz w:val="29"/>
          <w:szCs w:val="29"/>
          <w:rtl w:val="0"/>
        </w:rPr>
        <w:t xml:space="preserve"> </w:t>
      </w:r>
      <w:r>
        <w:rPr>
          <w:rFonts w:ascii="Times Roman" w:hAnsi="Times Roman"/>
          <w:sz w:val="29"/>
          <w:szCs w:val="29"/>
          <w:rtl w:val="0"/>
          <w:lang w:val="en-US"/>
        </w:rPr>
        <w:t>FCC 47 CFR, FCC Sub Part 18 Industrial, Scientific and Medical (ISM) Equipment</w:t>
      </w:r>
    </w:p>
    <w:p>
      <w:pPr>
        <w:pStyle w:val="Default"/>
        <w:bidi w:val="0"/>
        <w:ind w:left="0" w:right="0" w:firstLine="0"/>
        <w:jc w:val="left"/>
        <w:rPr>
          <w:rFonts w:ascii="Times Roman" w:cs="Times Roman" w:hAnsi="Times Roman" w:eastAsia="Times Roman"/>
          <w:sz w:val="29"/>
          <w:szCs w:val="29"/>
          <w:rtl w:val="0"/>
        </w:rPr>
      </w:pPr>
      <w:r>
        <w:rPr>
          <w:rFonts w:ascii="Times Roman" w:hAnsi="Times Roman"/>
          <w:sz w:val="29"/>
          <w:szCs w:val="29"/>
          <w:rtl w:val="0"/>
          <w:lang w:val="en-US"/>
        </w:rPr>
        <w:t>Mettler Electronics Corp. has been certified by VTT Expert Services LTD to be compliant with EN ISO 13485:2003 and MDD 93/42/EEC Annex II requirements. In addition, Mettler is certified by DQS Medizinprodukte GMBH to be compliant with ISO 13485:2003 (CMDCAS) Canadian Medical Device requirements.</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Times Roman" w:cs="Times Roman" w:hAnsi="Times Roman" w:eastAsia="Times Roman"/>
          <w:sz w:val="33"/>
          <w:szCs w:val="33"/>
          <w:rtl w:val="0"/>
        </w:rPr>
      </w:pPr>
      <w:r>
        <w:rPr>
          <w:rFonts w:ascii="Times Roman" w:hAnsi="Times Roman"/>
          <w:sz w:val="33"/>
          <w:szCs w:val="33"/>
          <w:rtl w:val="0"/>
          <w:lang w:val="en-US"/>
        </w:rPr>
        <w:t xml:space="preserve">The new Mettler 240L developed in collaboration with Leonhardt Ventures LLC and proprietary to Leonhardt Ventures LLC is currently under FDA review which is the same circuity of the original 240 but miniaturized to hand held palm size share and with firmware added to safety protections for at home use.  Leonhardt Ventures LLC and Mettler Electronics have granted an exclusive license to BreatheStim for the use of the 240L portable stimulator for the indication of use of anti-snoring and sleep apnea treatment. </w:t>
      </w:r>
    </w:p>
    <w:p>
      <w:pPr>
        <w:pStyle w:val="Default"/>
        <w:bidi w:val="0"/>
        <w:ind w:left="0" w:right="0" w:firstLine="0"/>
        <w:jc w:val="left"/>
        <w:rPr>
          <w:rFonts w:ascii="Times Roman" w:cs="Times Roman" w:hAnsi="Times Roman" w:eastAsia="Times Roman"/>
          <w:sz w:val="29"/>
          <w:szCs w:val="29"/>
          <w:rtl w:val="0"/>
        </w:rPr>
      </w:pP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Arial" w:cs="Arial" w:hAnsi="Arial" w:eastAsia="Arial"/>
          <w:b w:val="0"/>
          <w:bCs w:val="0"/>
          <w:sz w:val="37"/>
          <w:szCs w:val="37"/>
          <w:rtl w:val="0"/>
        </w:rPr>
      </w:pPr>
      <w:r>
        <w:rPr>
          <w:rFonts w:ascii="Times Roman" w:hAnsi="Times Roman"/>
          <w:b w:val="1"/>
          <w:bCs w:val="1"/>
          <w:sz w:val="29"/>
          <w:szCs w:val="29"/>
          <w:rtl w:val="0"/>
        </w:rPr>
        <w:t>1</w:t>
      </w:r>
      <w:r>
        <w:rPr>
          <w:rFonts w:ascii="Times Roman" w:hAnsi="Times Roman"/>
          <w:b w:val="1"/>
          <w:bCs w:val="1"/>
          <w:sz w:val="29"/>
          <w:szCs w:val="29"/>
          <w:rtl w:val="0"/>
          <w:lang w:val="en-US"/>
        </w:rPr>
        <w:t>4</w:t>
      </w:r>
      <w:r>
        <w:rPr>
          <w:rFonts w:ascii="Times Roman" w:hAnsi="Times Roman"/>
          <w:b w:val="1"/>
          <w:bCs w:val="1"/>
          <w:sz w:val="29"/>
          <w:szCs w:val="29"/>
          <w:rtl w:val="0"/>
          <w:lang w:val="en-US"/>
        </w:rPr>
        <w:t>. Clinical Testing</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New Roman" w:cs="Times New Roman" w:hAnsi="Times New Roman" w:eastAsia="Times New Roman"/>
          <w:sz w:val="29"/>
          <w:szCs w:val="29"/>
          <w:rtl w:val="0"/>
        </w:rPr>
      </w:pPr>
      <w:r>
        <w:rPr>
          <w:rFonts w:ascii="Times New Roman" w:hAnsi="Times New Roman"/>
          <w:sz w:val="29"/>
          <w:szCs w:val="29"/>
          <w:rtl w:val="0"/>
          <w:lang w:val="en-US"/>
        </w:rPr>
        <w:t>C</w:t>
      </w:r>
      <w:r>
        <w:rPr>
          <w:rFonts w:ascii="Times New Roman" w:hAnsi="Times New Roman"/>
          <w:sz w:val="29"/>
          <w:szCs w:val="29"/>
          <w:rtl w:val="0"/>
          <w:lang w:val="en-US"/>
        </w:rPr>
        <w:t>linical testing was performed in association with this submission</w:t>
      </w:r>
      <w:r>
        <w:rPr>
          <w:rFonts w:ascii="Times New Roman" w:hAnsi="Times New Roman"/>
          <w:sz w:val="29"/>
          <w:szCs w:val="29"/>
          <w:rtl w:val="0"/>
          <w:lang w:val="en-US"/>
        </w:rPr>
        <w:t xml:space="preserve"> in 10 patients at a breathing disorder clinic in Irvine, California working with Dr. Blair Bittner.  We have included in the attached addendum B photos and data from all 10 of these cases.  No safety issues arose in these studies. All 10 patients had relief of snoring and had improving night time and day time breathing after treatment many of them exhibiting substantial improvement. </w:t>
      </w:r>
    </w:p>
    <w:p>
      <w:pPr>
        <w:pStyle w:val="Default"/>
        <w:bidi w:val="0"/>
        <w:ind w:left="0" w:right="0" w:firstLine="0"/>
        <w:jc w:val="left"/>
        <w:rPr>
          <w:rFonts w:ascii="Arial" w:cs="Arial" w:hAnsi="Arial" w:eastAsia="Arial"/>
          <w:sz w:val="37"/>
          <w:szCs w:val="37"/>
          <w:rtl w:val="0"/>
        </w:rPr>
      </w:pPr>
    </w:p>
    <w:p>
      <w:pPr>
        <w:pStyle w:val="Default"/>
        <w:bidi w:val="0"/>
        <w:ind w:left="0" w:right="0" w:firstLine="0"/>
        <w:jc w:val="left"/>
        <w:rPr>
          <w:rFonts w:ascii="Times Roman" w:cs="Times Roman" w:hAnsi="Times Roman" w:eastAsia="Times Roman"/>
          <w:b w:val="1"/>
          <w:bCs w:val="1"/>
          <w:sz w:val="29"/>
          <w:szCs w:val="29"/>
          <w:rtl w:val="0"/>
        </w:rPr>
      </w:pPr>
      <w:r>
        <w:rPr>
          <w:rFonts w:ascii="Times Roman" w:hAnsi="Times Roman"/>
          <w:b w:val="1"/>
          <w:bCs w:val="1"/>
          <w:sz w:val="29"/>
          <w:szCs w:val="29"/>
          <w:rtl w:val="0"/>
        </w:rPr>
        <w:t>1</w:t>
      </w:r>
      <w:r>
        <w:rPr>
          <w:rFonts w:ascii="Times Roman" w:hAnsi="Times Roman"/>
          <w:b w:val="1"/>
          <w:bCs w:val="1"/>
          <w:sz w:val="29"/>
          <w:szCs w:val="29"/>
          <w:rtl w:val="0"/>
          <w:lang w:val="en-US"/>
        </w:rPr>
        <w:t>5</w:t>
      </w:r>
      <w:r>
        <w:rPr>
          <w:rFonts w:ascii="Times Roman" w:hAnsi="Times Roman"/>
          <w:b w:val="1"/>
          <w:bCs w:val="1"/>
          <w:sz w:val="29"/>
          <w:szCs w:val="29"/>
          <w:rtl w:val="0"/>
          <w:lang w:val="fr-FR"/>
        </w:rPr>
        <w:t>. Conclusions</w:t>
      </w:r>
    </w:p>
    <w:p>
      <w:pPr>
        <w:pStyle w:val="Default"/>
        <w:bidi w:val="0"/>
        <w:ind w:left="0" w:right="0" w:firstLine="0"/>
        <w:jc w:val="left"/>
        <w:rPr>
          <w:rFonts w:ascii="Arial" w:cs="Arial" w:hAnsi="Arial" w:eastAsia="Arial"/>
          <w:b w:val="0"/>
          <w:bCs w:val="0"/>
          <w:sz w:val="37"/>
          <w:szCs w:val="37"/>
          <w:rtl w:val="0"/>
        </w:rPr>
      </w:pPr>
    </w:p>
    <w:p>
      <w:pPr>
        <w:pStyle w:val="Default"/>
        <w:bidi w:val="0"/>
        <w:ind w:left="0" w:right="0" w:firstLine="0"/>
        <w:jc w:val="left"/>
        <w:rPr>
          <w:rtl w:val="0"/>
        </w:rPr>
      </w:pPr>
      <w:r>
        <w:rPr>
          <w:rFonts w:ascii="Times Roman" w:hAnsi="Times Roman"/>
          <w:sz w:val="29"/>
          <w:szCs w:val="29"/>
          <w:rtl w:val="0"/>
          <w:lang w:val="en-US"/>
        </w:rPr>
        <w:t xml:space="preserve">The results of the comparison of design, materials, intended use, labeling, and technological characteristics demonstrate the subject device is substantially equivalent in safety and efficacy the legally marketed predicate devices. Therefore, the sponsor concludes the proposed </w:t>
      </w:r>
      <w:r>
        <w:rPr>
          <w:rFonts w:ascii="Times Roman" w:hAnsi="Times Roman"/>
          <w:sz w:val="29"/>
          <w:szCs w:val="29"/>
          <w:rtl w:val="0"/>
          <w:lang w:val="en-US"/>
        </w:rPr>
        <w:t xml:space="preserve">BreatheStim </w:t>
      </w:r>
      <w:r>
        <w:rPr>
          <w:rFonts w:ascii="Times Roman" w:hAnsi="Times Roman"/>
          <w:sz w:val="29"/>
          <w:szCs w:val="29"/>
          <w:rtl w:val="0"/>
          <w:lang w:val="en-US"/>
        </w:rPr>
        <w:t>device is substantially equivalent to the identified predicate devices.</w:t>
      </w:r>
    </w:p>
    <w:sectPr>
      <w:headerReference w:type="default" r:id="rId11"/>
      <w:footerReference w:type="default" r:id="rId12"/>
      <w:pgSz w:w="15840" w:h="12240" w:orient="landscape"/>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420" w:hanging="24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00" w:hanging="24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80" w:hanging="24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40" w:hanging="24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20" w:hanging="24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00" w:hanging="24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